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0CA9B" w14:textId="77777777" w:rsidR="00F1600B" w:rsidRDefault="00F1600B" w:rsidP="00F1600B">
      <w:pPr>
        <w:pStyle w:val="Docketnumber"/>
        <w:spacing w:after="0"/>
      </w:pPr>
      <w:r>
        <w:t>SOAH DOCKET NO. 473-19-1841</w:t>
      </w:r>
    </w:p>
    <w:p w14:paraId="59327FD9" w14:textId="4476A33A" w:rsidR="009C3551" w:rsidRDefault="006E467B" w:rsidP="00F1600B">
      <w:pPr>
        <w:pStyle w:val="Docketnumber"/>
        <w:spacing w:after="0"/>
      </w:pPr>
      <w:r>
        <w:t xml:space="preserve">PUC DOCKET NO. </w:t>
      </w:r>
      <w:r w:rsidR="00CD24C7">
        <w:t>48745</w:t>
      </w:r>
      <w:r>
        <w:br/>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B10A9D" w14:paraId="70432BB7" w14:textId="77777777" w:rsidTr="00CD0038">
        <w:tc>
          <w:tcPr>
            <w:tcW w:w="4500" w:type="dxa"/>
          </w:tcPr>
          <w:p w14:paraId="015F8067" w14:textId="782E5256" w:rsidR="007572FC" w:rsidRDefault="001C6031" w:rsidP="00963DDD">
            <w:pPr>
              <w:pStyle w:val="Docketstyle"/>
            </w:pPr>
            <w:bookmarkStart w:id="0" w:name="_Hlk101871136"/>
            <w:r>
              <w:t>COMPLIANCE FILING OF ENTERGY TEXAS, INC. RELATING TO PARTICIPATION IN SMART METER TEXAS AND CHANGES TO ITS ADVANCED METERING SYSTEM</w:t>
            </w:r>
            <w:bookmarkEnd w:id="0"/>
          </w:p>
        </w:tc>
        <w:tc>
          <w:tcPr>
            <w:tcW w:w="360" w:type="dxa"/>
          </w:tcPr>
          <w:p w14:paraId="47CD975B" w14:textId="77777777" w:rsidR="007572FC" w:rsidRDefault="006E467B" w:rsidP="000D69EE">
            <w:pPr>
              <w:pStyle w:val="Docketstyle"/>
            </w:pPr>
            <w:r>
              <w:t>§</w:t>
            </w:r>
          </w:p>
          <w:p w14:paraId="353450C8" w14:textId="77777777" w:rsidR="001E360C" w:rsidRDefault="006E467B" w:rsidP="000D69EE">
            <w:pPr>
              <w:pStyle w:val="Docketstyle"/>
            </w:pPr>
            <w:r>
              <w:t>§</w:t>
            </w:r>
          </w:p>
          <w:p w14:paraId="330BDBFA" w14:textId="77777777" w:rsidR="00963DDD" w:rsidRDefault="006E467B" w:rsidP="00963DDD">
            <w:pPr>
              <w:pStyle w:val="Docketstyle"/>
            </w:pPr>
            <w:r>
              <w:t>§</w:t>
            </w:r>
          </w:p>
          <w:p w14:paraId="6687F6C8" w14:textId="77777777" w:rsidR="00CD24C7" w:rsidRDefault="00CD24C7" w:rsidP="00CD24C7">
            <w:pPr>
              <w:pStyle w:val="Docketstyle"/>
            </w:pPr>
            <w:r>
              <w:t>§</w:t>
            </w:r>
          </w:p>
          <w:p w14:paraId="6902DF0F" w14:textId="77777777" w:rsidR="001E360C" w:rsidRDefault="007A6338" w:rsidP="000D69EE">
            <w:pPr>
              <w:pStyle w:val="Docketstyle"/>
            </w:pPr>
          </w:p>
        </w:tc>
        <w:tc>
          <w:tcPr>
            <w:tcW w:w="4392" w:type="dxa"/>
          </w:tcPr>
          <w:p w14:paraId="2E34291A" w14:textId="0C58E76F" w:rsidR="007572FC" w:rsidRDefault="0003785B" w:rsidP="000D69EE">
            <w:pPr>
              <w:pStyle w:val="DocketstylePUC"/>
            </w:pPr>
            <w:r>
              <w:t>STATE OFFICE OF</w:t>
            </w:r>
          </w:p>
          <w:p w14:paraId="22199E71" w14:textId="77777777" w:rsidR="001E360C" w:rsidRDefault="007A6338" w:rsidP="000D69EE">
            <w:pPr>
              <w:pStyle w:val="DocketstylePUC"/>
            </w:pPr>
          </w:p>
          <w:p w14:paraId="4BE02047" w14:textId="49B3503C" w:rsidR="001E360C" w:rsidRDefault="0003785B" w:rsidP="000D69EE">
            <w:pPr>
              <w:pStyle w:val="DocketstylePUC"/>
            </w:pPr>
            <w:r>
              <w:t>ADMINISTRATIVE HEARINGS</w:t>
            </w:r>
          </w:p>
        </w:tc>
      </w:tr>
    </w:tbl>
    <w:p w14:paraId="5BF10935" w14:textId="77777777" w:rsidR="007572FC" w:rsidRDefault="006E467B" w:rsidP="00B9700A">
      <w:pPr>
        <w:pStyle w:val="Titleoforder"/>
        <w:spacing w:before="360"/>
      </w:pPr>
      <w:r>
        <w:t>PROPOSED ORDER</w:t>
      </w:r>
    </w:p>
    <w:p w14:paraId="673A05A0" w14:textId="67C42564" w:rsidR="008D1724" w:rsidRDefault="006E467B" w:rsidP="00CD24C7">
      <w:pPr>
        <w:pStyle w:val="BodyText"/>
      </w:pPr>
      <w:r>
        <w:t xml:space="preserve">This Order addresses the </w:t>
      </w:r>
      <w:r w:rsidR="00CD24C7">
        <w:t xml:space="preserve">Compliance Filing of Entergy Texas, Inc. (ETI) </w:t>
      </w:r>
      <w:r w:rsidR="001C6031">
        <w:t xml:space="preserve">Relating to Participation in Smart Meter Texas and Changes to its Advanced Metering System. </w:t>
      </w:r>
      <w:r>
        <w:t xml:space="preserve"> </w:t>
      </w:r>
      <w:r w:rsidR="002A05CC">
        <w:t xml:space="preserve">A stipulation </w:t>
      </w:r>
      <w:r w:rsidR="001538DC">
        <w:t xml:space="preserve">(Stipulation) </w:t>
      </w:r>
      <w:r w:rsidR="002A05CC">
        <w:t>was executed that resolves all of the issues in this proceeding. ETI’s compliance filing</w:t>
      </w:r>
      <w:r w:rsidR="00F26209">
        <w:t>, consistent with the Stipulation,</w:t>
      </w:r>
      <w:r w:rsidR="002A05CC">
        <w:t xml:space="preserve"> is approved</w:t>
      </w:r>
      <w:r w:rsidR="00F26209">
        <w:t xml:space="preserve"> to the extent provided in this Order</w:t>
      </w:r>
      <w:r w:rsidR="002A05CC">
        <w:t xml:space="preserve">. </w:t>
      </w:r>
    </w:p>
    <w:p w14:paraId="37F6AB1C" w14:textId="50989F14" w:rsidR="005E6FF4" w:rsidRDefault="006E467B" w:rsidP="00EA45A8">
      <w:pPr>
        <w:pStyle w:val="BodyText"/>
      </w:pPr>
      <w:r>
        <w:t xml:space="preserve">The </w:t>
      </w:r>
      <w:r w:rsidR="002A05CC">
        <w:t>Public Utility Commission of Texas (Commission</w:t>
      </w:r>
      <w:r w:rsidR="00912A71">
        <w:t>)</w:t>
      </w:r>
      <w:r w:rsidR="002A05CC">
        <w:t xml:space="preserve"> adopts the following findings of fact and conclusions of law: </w:t>
      </w:r>
    </w:p>
    <w:p w14:paraId="06E03FD5" w14:textId="30392323" w:rsidR="002A05CC" w:rsidRPr="00910CE9" w:rsidRDefault="002A05CC" w:rsidP="002A05CC">
      <w:pPr>
        <w:pStyle w:val="Heading1"/>
      </w:pPr>
      <w:r>
        <w:t>Findings of Fact</w:t>
      </w:r>
    </w:p>
    <w:p w14:paraId="0D0F1ECD" w14:textId="77777777" w:rsidR="000D69EE" w:rsidRDefault="006E467B" w:rsidP="000D69EE">
      <w:pPr>
        <w:pStyle w:val="Heading7"/>
        <w:rPr>
          <w:rFonts w:eastAsia="Times New Roman"/>
        </w:rPr>
      </w:pPr>
      <w:r>
        <w:rPr>
          <w:rFonts w:eastAsia="Times New Roman"/>
        </w:rPr>
        <w:t>Applicant</w:t>
      </w:r>
    </w:p>
    <w:p w14:paraId="181D58D8" w14:textId="11976868" w:rsidR="009C6F3B" w:rsidRDefault="006E467B" w:rsidP="000D69EE">
      <w:pPr>
        <w:pStyle w:val="FOFNumbered"/>
      </w:pPr>
      <w:r>
        <w:t xml:space="preserve">ETI is a Texas corporation and subsidiary of Entergy Corporation, a Delaware corporation. </w:t>
      </w:r>
    </w:p>
    <w:p w14:paraId="38E61D0D" w14:textId="788D16E0" w:rsidR="00963DDD" w:rsidRDefault="006E467B" w:rsidP="000D69EE">
      <w:pPr>
        <w:pStyle w:val="FOFNumbered"/>
      </w:pPr>
      <w:r w:rsidRPr="00C1087F">
        <w:t>ETI</w:t>
      </w:r>
      <w:r>
        <w:t xml:space="preserve"> generates, transmits, distributes, and sells electricity through facilities and equipment that it owns and operates in Texas under </w:t>
      </w:r>
      <w:r w:rsidR="004D5D13">
        <w:t>certificate of convenience and necessity</w:t>
      </w:r>
      <w:r>
        <w:t xml:space="preserve"> number 30076.</w:t>
      </w:r>
    </w:p>
    <w:p w14:paraId="6EF5599B" w14:textId="62671BD9" w:rsidR="00963DDD" w:rsidRDefault="006E467B" w:rsidP="000D69EE">
      <w:pPr>
        <w:pStyle w:val="FOFNumbered"/>
      </w:pPr>
      <w:r>
        <w:t>ETI serves approximately 4</w:t>
      </w:r>
      <w:r w:rsidR="0025595C">
        <w:t>86</w:t>
      </w:r>
      <w:r>
        <w:t xml:space="preserve">,000 </w:t>
      </w:r>
      <w:r w:rsidR="004D5D13">
        <w:t xml:space="preserve">Texas </w:t>
      </w:r>
      <w:r>
        <w:t>retail customers</w:t>
      </w:r>
      <w:r w:rsidR="00F9186A">
        <w:t xml:space="preserve"> in southeast Texas and does not offer customer choice</w:t>
      </w:r>
      <w:r>
        <w:t>.</w:t>
      </w:r>
    </w:p>
    <w:p w14:paraId="557B8000" w14:textId="1083727B" w:rsidR="00963DDD" w:rsidRPr="00963DDD" w:rsidRDefault="00F07FC3" w:rsidP="00963DDD">
      <w:pPr>
        <w:pStyle w:val="FOFNumbered"/>
        <w:numPr>
          <w:ilvl w:val="0"/>
          <w:numId w:val="0"/>
        </w:numPr>
        <w:rPr>
          <w:b/>
          <w:i/>
          <w:u w:val="single"/>
        </w:rPr>
      </w:pPr>
      <w:r>
        <w:rPr>
          <w:b/>
          <w:i/>
          <w:u w:val="single"/>
        </w:rPr>
        <w:t>Procedural History</w:t>
      </w:r>
    </w:p>
    <w:p w14:paraId="5FF7DA70" w14:textId="3BD1BBA6" w:rsidR="00F07FC3" w:rsidRDefault="00F07FC3" w:rsidP="00F07FC3">
      <w:pPr>
        <w:pStyle w:val="FOFNumbered"/>
      </w:pPr>
      <w:r>
        <w:t>On July 18, 2017, ETI filed an application with the Commission, which was assigned Docket No. 47416,</w:t>
      </w:r>
      <w:r>
        <w:rPr>
          <w:rStyle w:val="FootnoteReference"/>
        </w:rPr>
        <w:footnoteReference w:id="1"/>
      </w:r>
      <w:r>
        <w:t xml:space="preserve"> for approval of its plan to deploy an Advanced Metering System (AMS) to its retail electric customers; recovery, through a surcharge tariff, of its reasonable and necessary costs incurred in deployment of the AMS; and recovery of fees from </w:t>
      </w:r>
      <w:r>
        <w:lastRenderedPageBreak/>
        <w:t xml:space="preserve">customers who choose to opt out of service through the AMS and instead receive nonstandard metering service. </w:t>
      </w:r>
    </w:p>
    <w:p w14:paraId="1C8F9113" w14:textId="2857EBE1" w:rsidR="009E418C" w:rsidRDefault="00960BD4" w:rsidP="00FB228C">
      <w:pPr>
        <w:pStyle w:val="FOFNumbered"/>
      </w:pPr>
      <w:r>
        <w:t>T</w:t>
      </w:r>
      <w:r w:rsidR="009E418C">
        <w:t xml:space="preserve">he </w:t>
      </w:r>
      <w:r w:rsidR="001538DC">
        <w:t>F</w:t>
      </w:r>
      <w:r w:rsidR="009E418C">
        <w:t xml:space="preserve">inal </w:t>
      </w:r>
      <w:r w:rsidR="001538DC">
        <w:t>O</w:t>
      </w:r>
      <w:r w:rsidR="009E418C">
        <w:t xml:space="preserve">rder in Docket </w:t>
      </w:r>
      <w:r w:rsidR="00AC4E3E">
        <w:t xml:space="preserve">No. </w:t>
      </w:r>
      <w:r w:rsidR="009E418C">
        <w:t>47416, ordering paragraph 6 directed as follows:</w:t>
      </w:r>
    </w:p>
    <w:p w14:paraId="27F6BBD6" w14:textId="1FAEB3B1" w:rsidR="009E418C" w:rsidRDefault="009E418C" w:rsidP="009E418C">
      <w:pPr>
        <w:pStyle w:val="FOFNumbered"/>
        <w:numPr>
          <w:ilvl w:val="0"/>
          <w:numId w:val="0"/>
        </w:numPr>
        <w:spacing w:line="240" w:lineRule="auto"/>
        <w:ind w:left="720" w:right="720"/>
      </w:pPr>
      <w:r>
        <w:t>Unless the final order in Docket No. 47472</w:t>
      </w:r>
      <w:r w:rsidR="00B4775E">
        <w:t xml:space="preserve"> </w:t>
      </w:r>
      <w:r>
        <w:t>provides otherwise, within 90 days after the final order in Docket No. 47472 is signed, ETI shall initiate a proceeding to address whether and to what extent ETI will participate in Smart Meter Texas; what changes, if any, should be made to ETI</w:t>
      </w:r>
      <w:r w:rsidR="00AC4E3E">
        <w:t>’</w:t>
      </w:r>
      <w:r>
        <w:t>s web-based customer interface; and whether and to what extent ETI should provide third-party direct access to customer AMS data.</w:t>
      </w:r>
    </w:p>
    <w:p w14:paraId="244720F5" w14:textId="7F28FC5C" w:rsidR="00F22D77" w:rsidRDefault="00C975AC" w:rsidP="00885F59">
      <w:pPr>
        <w:pStyle w:val="FOFNumbered"/>
      </w:pPr>
      <w:r>
        <w:t xml:space="preserve">On October </w:t>
      </w:r>
      <w:r w:rsidR="0076081D">
        <w:t xml:space="preserve">9, 2018, </w:t>
      </w:r>
      <w:r w:rsidR="009E418C">
        <w:t xml:space="preserve">ETI initiated this docket, Docket No. 48745, </w:t>
      </w:r>
      <w:r w:rsidR="00960BD4">
        <w:t>pursuant to</w:t>
      </w:r>
      <w:r w:rsidR="009E418C">
        <w:t xml:space="preserve"> Ordering Paragraph No. 6, to address </w:t>
      </w:r>
      <w:r w:rsidR="00947EDF">
        <w:t>the</w:t>
      </w:r>
      <w:r w:rsidR="009E418C">
        <w:t xml:space="preserve"> issues</w:t>
      </w:r>
      <w:r w:rsidR="00947EDF">
        <w:t xml:space="preserve"> </w:t>
      </w:r>
      <w:r w:rsidR="00885F59">
        <w:t>raised therein</w:t>
      </w:r>
      <w:r w:rsidR="009E418C">
        <w:t xml:space="preserve">. </w:t>
      </w:r>
    </w:p>
    <w:p w14:paraId="1BD5B003" w14:textId="4AEED0F1" w:rsidR="001925A3" w:rsidRPr="001925A3" w:rsidRDefault="001925A3" w:rsidP="001925A3">
      <w:pPr>
        <w:pStyle w:val="FOFNumbered"/>
        <w:numPr>
          <w:ilvl w:val="0"/>
          <w:numId w:val="0"/>
        </w:numPr>
        <w:ind w:left="720" w:hanging="720"/>
        <w:rPr>
          <w:b/>
          <w:bCs/>
          <w:i/>
          <w:iCs/>
          <w:u w:val="single"/>
        </w:rPr>
      </w:pPr>
      <w:r w:rsidRPr="001925A3">
        <w:rPr>
          <w:b/>
          <w:bCs/>
          <w:i/>
          <w:iCs/>
          <w:u w:val="single"/>
        </w:rPr>
        <w:t>Notice</w:t>
      </w:r>
    </w:p>
    <w:p w14:paraId="45336713" w14:textId="5DE06D70" w:rsidR="001925A3" w:rsidRDefault="00947EDF" w:rsidP="001925A3">
      <w:pPr>
        <w:pStyle w:val="FOFNumbered"/>
      </w:pPr>
      <w:r>
        <w:t>On October 30, 2018</w:t>
      </w:r>
      <w:r w:rsidR="001925A3">
        <w:t>,</w:t>
      </w:r>
      <w:r w:rsidR="001925A3" w:rsidRPr="000515EA">
        <w:t xml:space="preserve"> ETI </w:t>
      </w:r>
      <w:r>
        <w:t>filed proof of notice, including the Affidavit of Scott Olson, in which he attested that ETI had</w:t>
      </w:r>
      <w:r w:rsidR="00AC4E3E">
        <w:t xml:space="preserve"> </w:t>
      </w:r>
      <w:r>
        <w:t>provided individual notice to</w:t>
      </w:r>
      <w:r w:rsidR="00AC4E3E">
        <w:t xml:space="preserve"> (1)</w:t>
      </w:r>
      <w:r>
        <w:t xml:space="preserve"> each party that participated in PUCT Docket No. 47472; and </w:t>
      </w:r>
      <w:r w:rsidR="00AC4E3E">
        <w:t>(2)</w:t>
      </w:r>
      <w:r>
        <w:t xml:space="preserve"> the parties in Docket No. </w:t>
      </w:r>
      <w:r w:rsidR="00960BD4">
        <w:t>47416</w:t>
      </w:r>
      <w:r>
        <w:t>.</w:t>
      </w:r>
    </w:p>
    <w:p w14:paraId="6F9E8F47" w14:textId="7584C609" w:rsidR="005C661C" w:rsidRDefault="005C661C" w:rsidP="000D69EE">
      <w:pPr>
        <w:pStyle w:val="FOFNumbered"/>
      </w:pPr>
      <w:r>
        <w:t xml:space="preserve">On </w:t>
      </w:r>
      <w:r w:rsidR="00947EDF">
        <w:t>January 29, 2019</w:t>
      </w:r>
      <w:r>
        <w:t xml:space="preserve">, the </w:t>
      </w:r>
      <w:r w:rsidR="00885F59">
        <w:t xml:space="preserve">State Office of Administrative Hearings (SOAH) </w:t>
      </w:r>
      <w:r w:rsidR="000E0CCD">
        <w:t>administrative law judge (ALJ)</w:t>
      </w:r>
      <w:r w:rsidR="00885F59">
        <w:t>,</w:t>
      </w:r>
      <w:r w:rsidR="000E0CCD">
        <w:t xml:space="preserve"> </w:t>
      </w:r>
      <w:r w:rsidR="00163BC9">
        <w:t xml:space="preserve">via Order No. 2, </w:t>
      </w:r>
      <w:r>
        <w:t xml:space="preserve">found the notice provided by ETI to be sufficient. </w:t>
      </w:r>
    </w:p>
    <w:p w14:paraId="58ECE7BB" w14:textId="71FC3E09" w:rsidR="005C661C" w:rsidRPr="00086825" w:rsidRDefault="005C661C" w:rsidP="005C661C">
      <w:pPr>
        <w:pStyle w:val="FOFNumbered"/>
        <w:numPr>
          <w:ilvl w:val="0"/>
          <w:numId w:val="0"/>
        </w:numPr>
        <w:ind w:left="720" w:hanging="720"/>
        <w:rPr>
          <w:b/>
          <w:bCs/>
          <w:i/>
          <w:iCs/>
          <w:u w:val="single"/>
        </w:rPr>
      </w:pPr>
      <w:r w:rsidRPr="00086825">
        <w:rPr>
          <w:b/>
          <w:bCs/>
          <w:i/>
          <w:iCs/>
          <w:u w:val="single"/>
        </w:rPr>
        <w:t>Interventions</w:t>
      </w:r>
    </w:p>
    <w:p w14:paraId="6AD0477B" w14:textId="18541AF8" w:rsidR="00163BC9" w:rsidRDefault="00947EDF" w:rsidP="005C661C">
      <w:pPr>
        <w:pStyle w:val="FOFNumbered"/>
      </w:pPr>
      <w:r>
        <w:t xml:space="preserve">On </w:t>
      </w:r>
      <w:r w:rsidR="00163BC9">
        <w:t xml:space="preserve">November 2, 2018, OPUC filed its motion to intervene. </w:t>
      </w:r>
    </w:p>
    <w:p w14:paraId="7E5F1671" w14:textId="37181CE4" w:rsidR="00163BC9" w:rsidRDefault="00163BC9" w:rsidP="005C661C">
      <w:pPr>
        <w:pStyle w:val="FOFNumbered"/>
      </w:pPr>
      <w:r>
        <w:t xml:space="preserve">On November 8, 2018, </w:t>
      </w:r>
      <w:r w:rsidR="00B4775E">
        <w:t>the Mission Data Coalition, Inc. (</w:t>
      </w:r>
      <w:r>
        <w:t>Mission:data</w:t>
      </w:r>
      <w:r w:rsidR="00B4775E">
        <w:t>)</w:t>
      </w:r>
      <w:r>
        <w:t xml:space="preserve"> filed its motion to intervene. </w:t>
      </w:r>
    </w:p>
    <w:p w14:paraId="3C523597" w14:textId="78C37FAB" w:rsidR="00163BC9" w:rsidRDefault="00163BC9" w:rsidP="005C661C">
      <w:pPr>
        <w:pStyle w:val="FOFNumbered"/>
      </w:pPr>
      <w:r>
        <w:t xml:space="preserve">On November 14, 2018, the ALJ granted OPUC’s motion to intervene via Order No. 3. </w:t>
      </w:r>
    </w:p>
    <w:p w14:paraId="31D1B3AF" w14:textId="3DD259F0" w:rsidR="00163BC9" w:rsidRDefault="00163BC9" w:rsidP="005C661C">
      <w:pPr>
        <w:pStyle w:val="FOFNumbered"/>
      </w:pPr>
      <w:r>
        <w:t xml:space="preserve">On November 15, 2018, the ALJ granted Mission:data’s motion to intervene via Order No. 4. </w:t>
      </w:r>
    </w:p>
    <w:p w14:paraId="46B3ADA0" w14:textId="32362F65" w:rsidR="000E0CCD" w:rsidRPr="000E0CCD" w:rsidRDefault="000E0CCD" w:rsidP="000E0CCD">
      <w:pPr>
        <w:pStyle w:val="FOFNumbered"/>
        <w:numPr>
          <w:ilvl w:val="0"/>
          <w:numId w:val="0"/>
        </w:numPr>
        <w:ind w:left="720" w:hanging="720"/>
        <w:rPr>
          <w:b/>
          <w:bCs/>
          <w:i/>
          <w:iCs/>
          <w:u w:val="single"/>
        </w:rPr>
      </w:pPr>
      <w:r w:rsidRPr="000E0CCD">
        <w:rPr>
          <w:b/>
          <w:bCs/>
          <w:i/>
          <w:iCs/>
          <w:u w:val="single"/>
        </w:rPr>
        <w:t>Testimony</w:t>
      </w:r>
    </w:p>
    <w:p w14:paraId="0B837776" w14:textId="06643786" w:rsidR="005F6118" w:rsidRPr="00B33F84" w:rsidRDefault="005F6118" w:rsidP="000E0CCD">
      <w:pPr>
        <w:pStyle w:val="FOFNumbered"/>
      </w:pPr>
      <w:r w:rsidRPr="00B33F84">
        <w:lastRenderedPageBreak/>
        <w:t>As part of its Compliance Filing, ETI submitted the affidavit of Rodney W. Griffith and an accompanying report addressing the issues identified in Ordering Paragraph No. 6 of the final order in Docket No. 47416.</w:t>
      </w:r>
    </w:p>
    <w:p w14:paraId="6083E5C4" w14:textId="17AF2274" w:rsidR="000E0CCD" w:rsidRPr="000E0CCD" w:rsidRDefault="000E0CCD" w:rsidP="000E0CCD">
      <w:pPr>
        <w:pStyle w:val="FOFNumbered"/>
        <w:numPr>
          <w:ilvl w:val="0"/>
          <w:numId w:val="0"/>
        </w:numPr>
        <w:ind w:left="720" w:hanging="720"/>
        <w:rPr>
          <w:b/>
          <w:bCs/>
          <w:i/>
          <w:iCs/>
          <w:u w:val="single"/>
        </w:rPr>
      </w:pPr>
      <w:r w:rsidRPr="000E0CCD">
        <w:rPr>
          <w:b/>
          <w:bCs/>
          <w:i/>
          <w:iCs/>
          <w:u w:val="single"/>
        </w:rPr>
        <w:t>Referral to SOAH</w:t>
      </w:r>
    </w:p>
    <w:p w14:paraId="411F5767" w14:textId="15E1BFBE" w:rsidR="000E0CCD" w:rsidRDefault="000E0CCD" w:rsidP="000D69EE">
      <w:pPr>
        <w:pStyle w:val="FOFNumbered"/>
      </w:pPr>
      <w:r>
        <w:t xml:space="preserve">On </w:t>
      </w:r>
      <w:r w:rsidR="00163BC9">
        <w:t>January 3, 2019</w:t>
      </w:r>
      <w:r>
        <w:t xml:space="preserve">, </w:t>
      </w:r>
      <w:r w:rsidR="00163BC9">
        <w:t>the Commission</w:t>
      </w:r>
      <w:r>
        <w:t xml:space="preserve"> </w:t>
      </w:r>
      <w:r w:rsidR="00163BC9">
        <w:t>referred</w:t>
      </w:r>
      <w:r>
        <w:t xml:space="preserve"> this docket to SOAH. </w:t>
      </w:r>
    </w:p>
    <w:p w14:paraId="74FDD3FE" w14:textId="623DCE11" w:rsidR="000E0CCD" w:rsidRPr="000E0CCD" w:rsidRDefault="000E0CCD" w:rsidP="000E0CCD">
      <w:pPr>
        <w:pStyle w:val="FOFNumbered"/>
        <w:numPr>
          <w:ilvl w:val="0"/>
          <w:numId w:val="0"/>
        </w:numPr>
        <w:ind w:left="720" w:hanging="720"/>
        <w:rPr>
          <w:b/>
          <w:bCs/>
          <w:i/>
          <w:iCs/>
          <w:u w:val="single"/>
        </w:rPr>
      </w:pPr>
      <w:r w:rsidRPr="000E0CCD">
        <w:rPr>
          <w:b/>
          <w:bCs/>
          <w:i/>
          <w:iCs/>
          <w:u w:val="single"/>
        </w:rPr>
        <w:t>Evidentiary Record</w:t>
      </w:r>
    </w:p>
    <w:p w14:paraId="79C22BE5" w14:textId="77777777" w:rsidR="000E0CCD" w:rsidRDefault="000E0CCD" w:rsidP="000E0CCD">
      <w:pPr>
        <w:pStyle w:val="FOFNumbered"/>
      </w:pPr>
      <w:r>
        <w:t xml:space="preserve">In Order No. </w:t>
      </w:r>
      <w:r w:rsidRPr="00724E60">
        <w:rPr>
          <w:highlight w:val="yellow"/>
        </w:rPr>
        <w:t>X</w:t>
      </w:r>
      <w:r>
        <w:t xml:space="preserve"> issued on [</w:t>
      </w:r>
      <w:r w:rsidRPr="00327EE8">
        <w:rPr>
          <w:highlight w:val="yellow"/>
        </w:rPr>
        <w:t>date</w:t>
      </w:r>
      <w:r>
        <w:t>], the ALJ admitted the following evidence into the record:</w:t>
      </w:r>
    </w:p>
    <w:p w14:paraId="291AEFCC" w14:textId="3D21EB11" w:rsidR="000E0CCD" w:rsidRDefault="000E0CCD" w:rsidP="000E0CCD">
      <w:pPr>
        <w:pStyle w:val="FOFNumbered"/>
        <w:numPr>
          <w:ilvl w:val="0"/>
          <w:numId w:val="0"/>
        </w:numPr>
        <w:ind w:left="720"/>
      </w:pPr>
      <w:r>
        <w:t>a.</w:t>
      </w:r>
      <w:r>
        <w:tab/>
        <w:t xml:space="preserve">ETI’s </w:t>
      </w:r>
      <w:r w:rsidR="00163BC9">
        <w:t>compliance</w:t>
      </w:r>
      <w:r>
        <w:t xml:space="preserve"> </w:t>
      </w:r>
      <w:r w:rsidR="00163BC9">
        <w:t xml:space="preserve">filing </w:t>
      </w:r>
      <w:r>
        <w:t xml:space="preserve">filed on October </w:t>
      </w:r>
      <w:r w:rsidR="00163BC9">
        <w:t>9</w:t>
      </w:r>
      <w:r>
        <w:t>, 20</w:t>
      </w:r>
      <w:r w:rsidR="00163BC9">
        <w:t>18</w:t>
      </w:r>
      <w:r>
        <w:t>.</w:t>
      </w:r>
    </w:p>
    <w:p w14:paraId="61A06DEB" w14:textId="20D8F52E" w:rsidR="000E0CCD" w:rsidRDefault="000E0CCD" w:rsidP="0003785B">
      <w:pPr>
        <w:pStyle w:val="FOFNumbered"/>
        <w:numPr>
          <w:ilvl w:val="0"/>
          <w:numId w:val="0"/>
        </w:numPr>
        <w:ind w:left="1440" w:hanging="720"/>
      </w:pPr>
      <w:r>
        <w:t>b.</w:t>
      </w:r>
      <w:r>
        <w:tab/>
        <w:t xml:space="preserve">ETI’s proof of notice filed on October </w:t>
      </w:r>
      <w:r w:rsidR="00163BC9">
        <w:t>30</w:t>
      </w:r>
      <w:r>
        <w:t xml:space="preserve">, </w:t>
      </w:r>
      <w:r w:rsidR="001A7C13">
        <w:t>2018</w:t>
      </w:r>
      <w:r>
        <w:t>.</w:t>
      </w:r>
    </w:p>
    <w:p w14:paraId="5798A1B8" w14:textId="475252D7" w:rsidR="007D5164" w:rsidRDefault="007D5164" w:rsidP="0003785B">
      <w:pPr>
        <w:pStyle w:val="FOFNumbered"/>
        <w:numPr>
          <w:ilvl w:val="0"/>
          <w:numId w:val="0"/>
        </w:numPr>
        <w:ind w:left="1440" w:hanging="720"/>
      </w:pPr>
      <w:r>
        <w:t>c.</w:t>
      </w:r>
      <w:r>
        <w:tab/>
        <w:t xml:space="preserve">The Stipulation filed </w:t>
      </w:r>
      <w:r w:rsidRPr="004A6A8F">
        <w:t xml:space="preserve">on </w:t>
      </w:r>
      <w:r w:rsidR="007A6338">
        <w:t>July 26</w:t>
      </w:r>
      <w:bookmarkStart w:id="1" w:name="_GoBack"/>
      <w:bookmarkEnd w:id="1"/>
      <w:r w:rsidR="003A2C37">
        <w:t>, 2022</w:t>
      </w:r>
      <w:r>
        <w:t>.</w:t>
      </w:r>
    </w:p>
    <w:p w14:paraId="5E4D7E70" w14:textId="42284A82" w:rsidR="000E0CCD" w:rsidRDefault="000E0CCD" w:rsidP="000E0CCD">
      <w:pPr>
        <w:pStyle w:val="FOFNumbered"/>
        <w:numPr>
          <w:ilvl w:val="0"/>
          <w:numId w:val="0"/>
        </w:numPr>
        <w:ind w:left="1440" w:hanging="720"/>
      </w:pPr>
      <w:r>
        <w:t>d.</w:t>
      </w:r>
      <w:r>
        <w:tab/>
        <w:t xml:space="preserve">Affidavit </w:t>
      </w:r>
      <w:r w:rsidR="007D5164" w:rsidRPr="0003785B">
        <w:rPr>
          <w:highlight w:val="yellow"/>
        </w:rPr>
        <w:t>[or settlement testimony]</w:t>
      </w:r>
      <w:r w:rsidR="007D5164">
        <w:t xml:space="preserve"> </w:t>
      </w:r>
      <w:r>
        <w:t xml:space="preserve">of </w:t>
      </w:r>
      <w:r w:rsidR="00274FB8" w:rsidRPr="00274FB8">
        <w:rPr>
          <w:highlight w:val="yellow"/>
        </w:rPr>
        <w:t>STAFF WITNESS</w:t>
      </w:r>
      <w:r>
        <w:t xml:space="preserve"> for </w:t>
      </w:r>
      <w:r w:rsidR="00B4775E">
        <w:t>Commission</w:t>
      </w:r>
      <w:r>
        <w:t xml:space="preserve"> Staff in support of the </w:t>
      </w:r>
      <w:r w:rsidR="00A60C07">
        <w:t>Stipulation</w:t>
      </w:r>
      <w:r w:rsidRPr="005B25BF">
        <w:t>.</w:t>
      </w:r>
    </w:p>
    <w:p w14:paraId="1C444F0B" w14:textId="70A61F26" w:rsidR="007D5164" w:rsidRDefault="007D5164" w:rsidP="000E0CCD">
      <w:pPr>
        <w:pStyle w:val="FOFNumbered"/>
        <w:numPr>
          <w:ilvl w:val="0"/>
          <w:numId w:val="0"/>
        </w:numPr>
        <w:ind w:left="1440" w:hanging="720"/>
      </w:pPr>
      <w:r>
        <w:t>e.</w:t>
      </w:r>
      <w:r>
        <w:tab/>
        <w:t>Settlement Testimony of Rich</w:t>
      </w:r>
      <w:r w:rsidR="00B4775E">
        <w:t>ard</w:t>
      </w:r>
      <w:r>
        <w:t xml:space="preserve"> </w:t>
      </w:r>
      <w:r w:rsidR="001C6031">
        <w:t xml:space="preserve">E. </w:t>
      </w:r>
      <w:r>
        <w:t xml:space="preserve">Lain for ETI in support of the </w:t>
      </w:r>
      <w:r w:rsidR="00A60C07">
        <w:t>S</w:t>
      </w:r>
      <w:r>
        <w:t>tipulation.</w:t>
      </w:r>
    </w:p>
    <w:p w14:paraId="2A209FEA" w14:textId="1172E44B" w:rsidR="000E0CCD" w:rsidRPr="000E0CCD" w:rsidRDefault="00885F59" w:rsidP="000E0CCD">
      <w:pPr>
        <w:pStyle w:val="FOFNumbered"/>
        <w:numPr>
          <w:ilvl w:val="0"/>
          <w:numId w:val="0"/>
        </w:numPr>
        <w:ind w:left="720" w:hanging="720"/>
        <w:rPr>
          <w:b/>
          <w:bCs/>
          <w:i/>
          <w:iCs/>
          <w:u w:val="single"/>
        </w:rPr>
      </w:pPr>
      <w:r>
        <w:rPr>
          <w:b/>
          <w:bCs/>
          <w:i/>
          <w:iCs/>
          <w:u w:val="single"/>
        </w:rPr>
        <w:t>Stipulation</w:t>
      </w:r>
    </w:p>
    <w:p w14:paraId="0C3F45FE" w14:textId="7FAFAF7B" w:rsidR="001A7C13" w:rsidRDefault="000E0CCD" w:rsidP="000D69EE">
      <w:pPr>
        <w:pStyle w:val="FOFNumbered"/>
      </w:pPr>
      <w:r>
        <w:t xml:space="preserve">Under the </w:t>
      </w:r>
      <w:r w:rsidR="00885F59">
        <w:t>Stipulation</w:t>
      </w:r>
      <w:r>
        <w:t xml:space="preserve">, </w:t>
      </w:r>
      <w:r w:rsidR="001A7C13">
        <w:t xml:space="preserve">the Signatories have resolved </w:t>
      </w:r>
      <w:r w:rsidR="00F26209">
        <w:t>all</w:t>
      </w:r>
      <w:r w:rsidR="001A7C13">
        <w:t xml:space="preserve"> issues raised in Ordering Paragraph No. 6 in Docket No. 47416 and as listed in the Preliminary Order in Docket No. 48745.</w:t>
      </w:r>
    </w:p>
    <w:p w14:paraId="39D208EF" w14:textId="3B85FC16" w:rsidR="000E0CCD" w:rsidRDefault="001A7C13" w:rsidP="000D69EE">
      <w:pPr>
        <w:pStyle w:val="FOFNumbered"/>
      </w:pPr>
      <w:r>
        <w:t>The Signatories agree</w:t>
      </w:r>
      <w:r w:rsidR="001C6031">
        <w:t>d</w:t>
      </w:r>
      <w:r>
        <w:t xml:space="preserve"> that ETI </w:t>
      </w:r>
      <w:r w:rsidR="00CF1CFD">
        <w:t xml:space="preserve">will </w:t>
      </w:r>
      <w:r>
        <w:t xml:space="preserve">not be required to participate in Smart Meter Texas </w:t>
      </w:r>
      <w:r w:rsidR="00E85737">
        <w:t xml:space="preserve">(SMT) </w:t>
      </w:r>
      <w:r>
        <w:t>because ETI’s C</w:t>
      </w:r>
      <w:r w:rsidR="00B4775E">
        <w:t>ust</w:t>
      </w:r>
      <w:r>
        <w:t xml:space="preserve">omer Engagement Portal provides all required </w:t>
      </w:r>
      <w:r w:rsidR="00E85737">
        <w:t xml:space="preserve">functionalities </w:t>
      </w:r>
      <w:r w:rsidR="00684A9C">
        <w:t xml:space="preserve">under 16 </w:t>
      </w:r>
      <w:r w:rsidR="00AC4E3E">
        <w:t>Tex. Admin. Code (</w:t>
      </w:r>
      <w:r w:rsidR="00684A9C">
        <w:t>TAC</w:t>
      </w:r>
      <w:r w:rsidR="00AC4E3E">
        <w:t>)</w:t>
      </w:r>
      <w:r w:rsidR="00684A9C">
        <w:t xml:space="preserve"> § 25.130. </w:t>
      </w:r>
    </w:p>
    <w:p w14:paraId="6862F678" w14:textId="7C1835B9" w:rsidR="00E85737" w:rsidRPr="00E85737" w:rsidRDefault="00E85737" w:rsidP="00E85737">
      <w:pPr>
        <w:pStyle w:val="FOFNumbered"/>
      </w:pPr>
      <w:r>
        <w:t>The Signatories agree</w:t>
      </w:r>
      <w:r w:rsidR="001C6031">
        <w:t>d</w:t>
      </w:r>
      <w:r>
        <w:t xml:space="preserve"> that ETI’s proposed we</w:t>
      </w:r>
      <w:r w:rsidR="00967293">
        <w:t>b</w:t>
      </w:r>
      <w:r>
        <w:t xml:space="preserve"> portal-based customer interface</w:t>
      </w:r>
      <w:r w:rsidR="009265B1">
        <w:t>, including the G</w:t>
      </w:r>
      <w:r w:rsidR="008A6DB1">
        <w:t xml:space="preserve">reen </w:t>
      </w:r>
      <w:r w:rsidR="009265B1">
        <w:t>B</w:t>
      </w:r>
      <w:r w:rsidR="008A6DB1">
        <w:t xml:space="preserve">utton </w:t>
      </w:r>
      <w:r w:rsidR="009265B1">
        <w:t>C</w:t>
      </w:r>
      <w:r w:rsidR="008A6DB1">
        <w:t>onnect (GBC)</w:t>
      </w:r>
      <w:r w:rsidR="009265B1">
        <w:t xml:space="preserve"> </w:t>
      </w:r>
      <w:r w:rsidR="00AC1F90">
        <w:t>P</w:t>
      </w:r>
      <w:r w:rsidR="009265B1">
        <w:t xml:space="preserve">latform </w:t>
      </w:r>
      <w:r w:rsidR="001C6031">
        <w:t xml:space="preserve">(GBC Platform) </w:t>
      </w:r>
      <w:r w:rsidR="009265B1">
        <w:t xml:space="preserve">as implemented according to </w:t>
      </w:r>
      <w:r w:rsidR="009872AB">
        <w:t xml:space="preserve">the </w:t>
      </w:r>
      <w:r w:rsidR="009265B1">
        <w:t>Advanced Metering System Customer Engagement Portal Data Access and Sharing Protocols (the “Protocols”)</w:t>
      </w:r>
      <w:r>
        <w:t xml:space="preserve"> </w:t>
      </w:r>
      <w:r w:rsidR="009265B1">
        <w:t xml:space="preserve">attached as Exhibit 1 to the Stipulation, </w:t>
      </w:r>
      <w:r>
        <w:t xml:space="preserve">meets the applicable requirements for access to AMS data as required under </w:t>
      </w:r>
      <w:r w:rsidR="00AC4E3E">
        <w:t xml:space="preserve">Public Utility Regulatory Act (PURA) § 39.107 and </w:t>
      </w:r>
      <w:r w:rsidRPr="00E85737">
        <w:t xml:space="preserve">16 TAC </w:t>
      </w:r>
      <w:r>
        <w:t xml:space="preserve">§ </w:t>
      </w:r>
      <w:r w:rsidRPr="00E85737">
        <w:t>25.130.</w:t>
      </w:r>
    </w:p>
    <w:p w14:paraId="7FF0155B" w14:textId="1F93011A" w:rsidR="00AC1F90" w:rsidRDefault="00E85737" w:rsidP="00E85737">
      <w:pPr>
        <w:pStyle w:val="FOFNumbered"/>
      </w:pPr>
      <w:r w:rsidRPr="00E85737">
        <w:lastRenderedPageBreak/>
        <w:t>The Signatories agree</w:t>
      </w:r>
      <w:r w:rsidR="001C6031">
        <w:t>d</w:t>
      </w:r>
      <w:r w:rsidRPr="00E85737">
        <w:t xml:space="preserve"> that </w:t>
      </w:r>
      <w:r w:rsidR="0058547F">
        <w:t>ETI will</w:t>
      </w:r>
      <w:r w:rsidR="00AC1F90">
        <w:t>:</w:t>
      </w:r>
    </w:p>
    <w:p w14:paraId="4112368E" w14:textId="5611AD3F" w:rsidR="00AC1F90" w:rsidRDefault="00AC1F90" w:rsidP="009D6BF8">
      <w:pPr>
        <w:pStyle w:val="FOFNumbered"/>
        <w:numPr>
          <w:ilvl w:val="0"/>
          <w:numId w:val="20"/>
        </w:numPr>
        <w:ind w:left="1080"/>
      </w:pPr>
      <w:r>
        <w:t xml:space="preserve">implement the current version of its third-party data access platform within 30 days after the entry of an order approving </w:t>
      </w:r>
      <w:r w:rsidR="001C6031">
        <w:t>the</w:t>
      </w:r>
      <w:r>
        <w:t xml:space="preserve"> Stipulation;</w:t>
      </w:r>
    </w:p>
    <w:p w14:paraId="6AFCC83A" w14:textId="05B49894" w:rsidR="00AC1F90" w:rsidRPr="00AC1F90" w:rsidRDefault="00AC1F90" w:rsidP="009D6BF8">
      <w:pPr>
        <w:pStyle w:val="FOFNumbered"/>
        <w:numPr>
          <w:ilvl w:val="0"/>
          <w:numId w:val="20"/>
        </w:numPr>
        <w:ind w:left="1080"/>
      </w:pPr>
      <w:r>
        <w:t xml:space="preserve">implement the necessary changes to its third-party data access platform to comply with the Protocols attached as Exhibit 1 </w:t>
      </w:r>
      <w:r w:rsidR="00A60C07">
        <w:t xml:space="preserve">to the Stipulation </w:t>
      </w:r>
      <w:r>
        <w:t>within 18</w:t>
      </w:r>
      <w:r w:rsidRPr="0079355B">
        <w:t xml:space="preserve"> months</w:t>
      </w:r>
      <w:r>
        <w:t xml:space="preserve"> of </w:t>
      </w:r>
      <w:r w:rsidR="0012296A">
        <w:rPr>
          <w:szCs w:val="24"/>
        </w:rPr>
        <w:t>the Commission issuing an o</w:t>
      </w:r>
      <w:r>
        <w:rPr>
          <w:szCs w:val="24"/>
        </w:rPr>
        <w:t xml:space="preserve">rder consistent with </w:t>
      </w:r>
      <w:r w:rsidR="00A60C07">
        <w:rPr>
          <w:szCs w:val="24"/>
        </w:rPr>
        <w:t>the</w:t>
      </w:r>
      <w:r>
        <w:rPr>
          <w:szCs w:val="24"/>
        </w:rPr>
        <w:t xml:space="preserve"> Stipulation, and ETI will file </w:t>
      </w:r>
      <w:r w:rsidR="00DE53CE">
        <w:rPr>
          <w:szCs w:val="24"/>
        </w:rPr>
        <w:t xml:space="preserve">monthly </w:t>
      </w:r>
      <w:r>
        <w:rPr>
          <w:szCs w:val="24"/>
        </w:rPr>
        <w:t>status report</w:t>
      </w:r>
      <w:r w:rsidR="001D0E96">
        <w:rPr>
          <w:szCs w:val="24"/>
        </w:rPr>
        <w:t xml:space="preserve">s </w:t>
      </w:r>
      <w:r>
        <w:rPr>
          <w:szCs w:val="24"/>
        </w:rPr>
        <w:t xml:space="preserve">explaining </w:t>
      </w:r>
      <w:r w:rsidR="001D0E96" w:rsidRPr="007A463E">
        <w:rPr>
          <w:szCs w:val="24"/>
        </w:rPr>
        <w:t>progress and any problems or delays</w:t>
      </w:r>
      <w:r>
        <w:rPr>
          <w:szCs w:val="24"/>
        </w:rPr>
        <w:t>; and</w:t>
      </w:r>
    </w:p>
    <w:p w14:paraId="66638F90" w14:textId="4BA212EF" w:rsidR="00E85737" w:rsidRPr="00E85737" w:rsidRDefault="00AC1F90" w:rsidP="009D6BF8">
      <w:pPr>
        <w:pStyle w:val="FOFNumbered"/>
        <w:numPr>
          <w:ilvl w:val="0"/>
          <w:numId w:val="20"/>
        </w:numPr>
        <w:ind w:left="1080"/>
      </w:pPr>
      <w:r>
        <w:t xml:space="preserve">obtain </w:t>
      </w:r>
      <w:r w:rsidR="001D0E96">
        <w:t xml:space="preserve">certification </w:t>
      </w:r>
      <w:r>
        <w:t xml:space="preserve">from the Green Button Alliance that the GBC Platform </w:t>
      </w:r>
      <w:r w:rsidR="001D0E96">
        <w:t xml:space="preserve">meets the </w:t>
      </w:r>
      <w:r w:rsidR="001D0E96" w:rsidRPr="007A463E">
        <w:t>North American Energy Standards Board (NAESB) Energy Services Provider Interface Retail Energy Quadrant Book 21 standards for Green Button Connect (Green Button Connect Standards)</w:t>
      </w:r>
      <w:r w:rsidR="001D0E96">
        <w:t xml:space="preserve"> as specified in the </w:t>
      </w:r>
      <w:r w:rsidR="001D0E96" w:rsidRPr="007A463E">
        <w:t xml:space="preserve">Function Blocks </w:t>
      </w:r>
      <w:r w:rsidR="001D0E96">
        <w:t xml:space="preserve">included in the GBC Platform </w:t>
      </w:r>
      <w:r w:rsidR="001D0E96" w:rsidRPr="007A463E">
        <w:t>shown in Attachment 1 to the Protocols;  provided, however, that should the Green Button Alliance, the OpenADE, or the NAESB change the interpretation of or modify, change, add or delete any of the Green Button Standards</w:t>
      </w:r>
      <w:r w:rsidR="001D0E96">
        <w:t xml:space="preserve"> in a way that results in requiring additional Function Blocks for certification or otherwise affects the requirements of the Function Blocks included in the GBC Platform shown in Attachment 1 to the Protocols</w:t>
      </w:r>
      <w:r w:rsidR="001D0E96" w:rsidRPr="007A463E">
        <w:t xml:space="preserve"> </w:t>
      </w:r>
      <w:r w:rsidR="001D0E96">
        <w:t>(</w:t>
      </w:r>
      <w:r w:rsidR="001D0E96" w:rsidRPr="00063105">
        <w:t>including, for example, a change that would prohibit a utility from requiring third parties to register to use the GBC Platform</w:t>
      </w:r>
      <w:r w:rsidR="001D0E96" w:rsidRPr="00874942">
        <w:t>)</w:t>
      </w:r>
      <w:r w:rsidR="001D0E96">
        <w:t>,</w:t>
      </w:r>
      <w:r w:rsidR="001D0E96" w:rsidRPr="007A463E">
        <w:t xml:space="preserve"> ETI is only required to implement the Function Blocks identified in Attachment 1 to the Protocols as they existed on the date that the Stipulation was executed</w:t>
      </w:r>
      <w:r w:rsidR="00B46FC6">
        <w:t>.</w:t>
      </w:r>
      <w:r>
        <w:t xml:space="preserve">  </w:t>
      </w:r>
      <w:r w:rsidR="0058547F">
        <w:t xml:space="preserve"> </w:t>
      </w:r>
    </w:p>
    <w:p w14:paraId="594FA4C9" w14:textId="2FD6ABA7" w:rsidR="00C4720D" w:rsidRDefault="00C4720D" w:rsidP="00E85737">
      <w:pPr>
        <w:pStyle w:val="FOFNumbered"/>
      </w:pPr>
      <w:r>
        <w:rPr>
          <w:szCs w:val="24"/>
        </w:rPr>
        <w:t>The Signatories agree</w:t>
      </w:r>
      <w:r w:rsidR="001C6031">
        <w:rPr>
          <w:szCs w:val="24"/>
        </w:rPr>
        <w:t>d</w:t>
      </w:r>
      <w:r>
        <w:rPr>
          <w:szCs w:val="24"/>
        </w:rPr>
        <w:t xml:space="preserve"> to support ETI’s recovery of </w:t>
      </w:r>
      <w:r w:rsidR="00016A5C">
        <w:rPr>
          <w:szCs w:val="24"/>
        </w:rPr>
        <w:t xml:space="preserve">reasonable and necessary </w:t>
      </w:r>
      <w:r>
        <w:rPr>
          <w:szCs w:val="24"/>
        </w:rPr>
        <w:t xml:space="preserve">internal and external </w:t>
      </w:r>
      <w:r w:rsidR="00B46FC6">
        <w:rPr>
          <w:szCs w:val="24"/>
        </w:rPr>
        <w:t xml:space="preserve">incremental </w:t>
      </w:r>
      <w:r>
        <w:rPr>
          <w:szCs w:val="24"/>
        </w:rPr>
        <w:t xml:space="preserve">costs for the changes required to implement </w:t>
      </w:r>
      <w:r w:rsidR="00B46FC6">
        <w:rPr>
          <w:szCs w:val="24"/>
        </w:rPr>
        <w:t>the GBC Platform</w:t>
      </w:r>
      <w:r>
        <w:rPr>
          <w:szCs w:val="24"/>
        </w:rPr>
        <w:t xml:space="preserve">, which are </w:t>
      </w:r>
      <w:r w:rsidR="00016A5C" w:rsidRPr="00024658">
        <w:rPr>
          <w:szCs w:val="24"/>
        </w:rPr>
        <w:t>subject to reconciliation pursuant to 16 TAC § 25.130(k)(6)</w:t>
      </w:r>
      <w:r>
        <w:rPr>
          <w:szCs w:val="24"/>
        </w:rPr>
        <w:t>.  The Signatories further agree</w:t>
      </w:r>
      <w:r w:rsidR="001C6031">
        <w:rPr>
          <w:szCs w:val="24"/>
        </w:rPr>
        <w:t>d</w:t>
      </w:r>
      <w:r>
        <w:rPr>
          <w:szCs w:val="24"/>
        </w:rPr>
        <w:t xml:space="preserve"> to support recovery of the</w:t>
      </w:r>
      <w:r w:rsidR="009D6BF8">
        <w:rPr>
          <w:szCs w:val="24"/>
        </w:rPr>
        <w:t xml:space="preserve"> </w:t>
      </w:r>
      <w:r w:rsidR="00016A5C" w:rsidRPr="00024658">
        <w:rPr>
          <w:szCs w:val="24"/>
        </w:rPr>
        <w:t xml:space="preserve">reasonable and necessary </w:t>
      </w:r>
      <w:r>
        <w:rPr>
          <w:szCs w:val="24"/>
        </w:rPr>
        <w:t xml:space="preserve">incremental on-going costs of operating the </w:t>
      </w:r>
      <w:r w:rsidR="00E9661A">
        <w:rPr>
          <w:szCs w:val="24"/>
        </w:rPr>
        <w:t>GBC P</w:t>
      </w:r>
      <w:r>
        <w:rPr>
          <w:szCs w:val="24"/>
        </w:rPr>
        <w:t>latform.</w:t>
      </w:r>
    </w:p>
    <w:p w14:paraId="47C460D0" w14:textId="16350198" w:rsidR="0058547F" w:rsidRDefault="00E85737" w:rsidP="00E85737">
      <w:pPr>
        <w:pStyle w:val="FOFNumbered"/>
      </w:pPr>
      <w:r w:rsidRPr="00E85737">
        <w:lastRenderedPageBreak/>
        <w:t>The Signatories agree</w:t>
      </w:r>
      <w:r w:rsidR="001C6031">
        <w:t>d</w:t>
      </w:r>
      <w:r w:rsidRPr="00E85737">
        <w:t xml:space="preserve"> that ETI</w:t>
      </w:r>
      <w:r w:rsidR="00AC4E3E">
        <w:t>’</w:t>
      </w:r>
      <w:r w:rsidRPr="00E85737">
        <w:t xml:space="preserve">s </w:t>
      </w:r>
      <w:r w:rsidR="0058547F">
        <w:t xml:space="preserve">proposed web portal-based customer interface, including the GBC </w:t>
      </w:r>
      <w:r w:rsidR="00AC1F90">
        <w:t>P</w:t>
      </w:r>
      <w:r w:rsidR="0058547F">
        <w:t>latform</w:t>
      </w:r>
      <w:r w:rsidR="008A6DB1">
        <w:t>,</w:t>
      </w:r>
      <w:r w:rsidR="0058547F">
        <w:t xml:space="preserve"> uses appropriate and reasonable standards and methods to provide secure access to meter data and is consistent with Commission rules. </w:t>
      </w:r>
      <w:r w:rsidR="0058547F" w:rsidRPr="00E85737">
        <w:t xml:space="preserve"> </w:t>
      </w:r>
    </w:p>
    <w:p w14:paraId="19343120" w14:textId="68F5E6D9" w:rsidR="00E85737" w:rsidRDefault="0058547F" w:rsidP="00E85737">
      <w:pPr>
        <w:pStyle w:val="FOFNumbered"/>
      </w:pPr>
      <w:r>
        <w:t>The Signatories agree</w:t>
      </w:r>
      <w:r w:rsidR="001C6031">
        <w:t>d</w:t>
      </w:r>
      <w:r>
        <w:t xml:space="preserve"> that providing third-party direct access to customer AMS data through the GBC </w:t>
      </w:r>
      <w:r w:rsidR="00AC1F90">
        <w:t>P</w:t>
      </w:r>
      <w:r>
        <w:t xml:space="preserve">latform is </w:t>
      </w:r>
      <w:r w:rsidR="00E85737" w:rsidRPr="00E85737">
        <w:t>reasonable and in accordance with industry security standards and Commission rules.</w:t>
      </w:r>
    </w:p>
    <w:p w14:paraId="40B35444" w14:textId="499BBBB8" w:rsidR="002926B6" w:rsidRDefault="002926B6" w:rsidP="00E85737">
      <w:pPr>
        <w:pStyle w:val="FOFNumbered"/>
      </w:pPr>
      <w:r>
        <w:t xml:space="preserve">ETI </w:t>
      </w:r>
      <w:r w:rsidR="00F26209">
        <w:t>agreed to</w:t>
      </w:r>
      <w:r>
        <w:t xml:space="preserve"> implement the CEP reporting requirements identified in </w:t>
      </w:r>
      <w:r w:rsidR="00B46FC6">
        <w:t xml:space="preserve">Attachment </w:t>
      </w:r>
      <w:r w:rsidR="0058547F">
        <w:t>2</w:t>
      </w:r>
      <w:r>
        <w:t xml:space="preserve"> of the </w:t>
      </w:r>
      <w:r w:rsidR="00B46FC6">
        <w:t>Protocols</w:t>
      </w:r>
      <w:r>
        <w:t>.</w:t>
      </w:r>
    </w:p>
    <w:p w14:paraId="5FC75240" w14:textId="5ABA9EFD" w:rsidR="005F6118" w:rsidRDefault="00F26209" w:rsidP="00E85737">
      <w:pPr>
        <w:pStyle w:val="FOFNumbered"/>
      </w:pPr>
      <w:r>
        <w:t>ETI agreed that, w</w:t>
      </w:r>
      <w:r w:rsidR="005F6118">
        <w:t xml:space="preserve">ithin 60 days of the Commission entering an Order consistent with this Stipulation, ETI will file an application for a change in its Deployment Plan under 16 TAC § 25.130(d)(10) to implement on-demand read functionality instead of </w:t>
      </w:r>
      <w:r w:rsidR="00967293">
        <w:t xml:space="preserve">the </w:t>
      </w:r>
      <w:r w:rsidR="005F6118">
        <w:t xml:space="preserve">home-area network functionality </w:t>
      </w:r>
      <w:r w:rsidR="00967293" w:rsidRPr="00967293">
        <w:t>provided in ETI’s currently-approved Deployment Plan</w:t>
      </w:r>
      <w:r w:rsidR="00967293">
        <w:t xml:space="preserve"> </w:t>
      </w:r>
      <w:r w:rsidR="005F6118">
        <w:t>consistent with 16 TAC § 25.130(g)(1)(F).</w:t>
      </w:r>
    </w:p>
    <w:p w14:paraId="39E93CF0" w14:textId="77777777" w:rsidR="00EE5DDA" w:rsidRDefault="006E467B" w:rsidP="000D69EE">
      <w:pPr>
        <w:pStyle w:val="Heading1"/>
      </w:pPr>
      <w:r>
        <w:t>Conclusions of Law</w:t>
      </w:r>
    </w:p>
    <w:p w14:paraId="43D3832D" w14:textId="77777777" w:rsidR="005E6FF4" w:rsidRPr="00910CE9" w:rsidRDefault="006E467B" w:rsidP="00EA45A8">
      <w:pPr>
        <w:pStyle w:val="BodyText"/>
      </w:pPr>
      <w:r>
        <w:t>The Commission makes the following conclusions of law:</w:t>
      </w:r>
    </w:p>
    <w:p w14:paraId="245C33D6" w14:textId="77777777" w:rsidR="000D69EE" w:rsidRDefault="006E467B" w:rsidP="000D69EE">
      <w:pPr>
        <w:pStyle w:val="COLNumbered"/>
      </w:pPr>
      <w:r>
        <w:t>ETI is a public utility as defined in PURA § 11.004(1) and an electric utility as defined in PURA § 31.002(6).</w:t>
      </w:r>
    </w:p>
    <w:p w14:paraId="003D4E18" w14:textId="5CC168F9" w:rsidR="000D69EE" w:rsidRDefault="006E467B" w:rsidP="000D69EE">
      <w:pPr>
        <w:pStyle w:val="COLNumbered"/>
      </w:pPr>
      <w:r>
        <w:t>The Commission has jurisdiction over this matter under PURA §</w:t>
      </w:r>
      <w:r w:rsidR="00E85737">
        <w:t xml:space="preserve"> </w:t>
      </w:r>
      <w:r>
        <w:t>3</w:t>
      </w:r>
      <w:r w:rsidR="00E85737">
        <w:t>9</w:t>
      </w:r>
      <w:r>
        <w:t>.</w:t>
      </w:r>
      <w:r w:rsidR="00E85737">
        <w:t>107(h)</w:t>
      </w:r>
      <w:r>
        <w:t>.</w:t>
      </w:r>
    </w:p>
    <w:p w14:paraId="02E51045" w14:textId="0C85D209" w:rsidR="00E85737" w:rsidRDefault="00E85737" w:rsidP="000D69EE">
      <w:pPr>
        <w:pStyle w:val="COLNumbered"/>
      </w:pPr>
      <w:r>
        <w:t>ETI provided notice in this proceeding in accordance with 16 TAC § 22.5</w:t>
      </w:r>
      <w:r w:rsidR="00AD51CE">
        <w:t>5</w:t>
      </w:r>
      <w:r>
        <w:t>.</w:t>
      </w:r>
    </w:p>
    <w:p w14:paraId="04D7637D" w14:textId="49F784D1" w:rsidR="00FC5FCD" w:rsidRPr="00E541B7" w:rsidRDefault="00FC5FCD" w:rsidP="000D69EE">
      <w:pPr>
        <w:pStyle w:val="COLNumbered"/>
      </w:pPr>
      <w:r w:rsidRPr="00E541B7">
        <w:t>The CEP</w:t>
      </w:r>
      <w:r w:rsidR="008A6DB1" w:rsidRPr="00E541B7">
        <w:t xml:space="preserve">, including the GBC </w:t>
      </w:r>
      <w:r w:rsidR="00AC1F90">
        <w:t>P</w:t>
      </w:r>
      <w:r w:rsidR="008A6DB1" w:rsidRPr="00E541B7">
        <w:t>latform,</w:t>
      </w:r>
      <w:r w:rsidRPr="00E541B7">
        <w:t xml:space="preserve"> approved in this Order meets the requirements of PURA § 39.107 and 16 TAC § 25.130.</w:t>
      </w:r>
    </w:p>
    <w:p w14:paraId="7F875C25" w14:textId="77777777" w:rsidR="000D69EE" w:rsidRDefault="006E467B" w:rsidP="000D69EE">
      <w:pPr>
        <w:pStyle w:val="COLNumbered"/>
      </w:pPr>
      <w:r>
        <w:t>The Commission processed this docket in accordance with the requirements of PURA, the Administrative Procedure Act,</w:t>
      </w:r>
      <w:r>
        <w:rPr>
          <w:rStyle w:val="FootnoteReference"/>
        </w:rPr>
        <w:footnoteReference w:id="2"/>
      </w:r>
      <w:r>
        <w:t xml:space="preserve"> and Commission rules.</w:t>
      </w:r>
    </w:p>
    <w:p w14:paraId="11ABDC63" w14:textId="6C0F37C9" w:rsidR="00CA4AE7" w:rsidRDefault="00912A71" w:rsidP="00CA4AE7">
      <w:pPr>
        <w:pStyle w:val="COLNumbered"/>
      </w:pPr>
      <w:r>
        <w:lastRenderedPageBreak/>
        <w:t>The Commission’s consideration of the Stipulation complies with PURA § 14.054 and 16 TAC § 22.206.</w:t>
      </w:r>
    </w:p>
    <w:p w14:paraId="5CF3DCBA" w14:textId="4C9CA9E0" w:rsidR="00912A71" w:rsidRDefault="00912A71" w:rsidP="00912A71">
      <w:pPr>
        <w:pStyle w:val="COLNumbered"/>
      </w:pPr>
      <w:r>
        <w:t xml:space="preserve">The </w:t>
      </w:r>
      <w:r w:rsidR="001C6031">
        <w:t>Stipulation</w:t>
      </w:r>
      <w:r>
        <w:t>, taken as a whole, is a fair, just, and reasonable resolution of all issues presented, is supported by the record, and is consistent with the relevant provisions of PURA.</w:t>
      </w:r>
    </w:p>
    <w:p w14:paraId="40B7649C" w14:textId="77777777" w:rsidR="000D69EE" w:rsidRDefault="006E467B" w:rsidP="000D69EE">
      <w:pPr>
        <w:pStyle w:val="COLNumbered"/>
      </w:pPr>
      <w:r>
        <w:t>The requirements for informal disposition under 16 TAC § 22.35 have been met in this proceeding.</w:t>
      </w:r>
    </w:p>
    <w:p w14:paraId="569B82AC" w14:textId="77777777" w:rsidR="00EE5DDA" w:rsidRDefault="006E467B" w:rsidP="000D69EE">
      <w:pPr>
        <w:pStyle w:val="Heading1"/>
      </w:pPr>
      <w:r>
        <w:t>Ordering Paragraphs</w:t>
      </w:r>
    </w:p>
    <w:p w14:paraId="26F0DDB2" w14:textId="77777777" w:rsidR="008D1724" w:rsidRPr="008D1724" w:rsidRDefault="006E467B" w:rsidP="00D83B90">
      <w:pPr>
        <w:pStyle w:val="BodyText"/>
      </w:pPr>
      <w:r>
        <w:t>In accordance with these findings of fact and conclusions of law, the Commission issues the following orders:</w:t>
      </w:r>
    </w:p>
    <w:p w14:paraId="0175CE02" w14:textId="0010611D" w:rsidR="00872BBD" w:rsidRDefault="00912A71" w:rsidP="000D69EE">
      <w:pPr>
        <w:pStyle w:val="OrderingParagraph"/>
      </w:pPr>
      <w:r>
        <w:t>ETI is not required to participate in Smart Meter Texas</w:t>
      </w:r>
      <w:r w:rsidR="004957AA">
        <w:t xml:space="preserve"> and will instead implement the AMS data sharing platform described in the Stipulation</w:t>
      </w:r>
      <w:r>
        <w:t xml:space="preserve">. </w:t>
      </w:r>
    </w:p>
    <w:p w14:paraId="42AE4435" w14:textId="7BA8D251" w:rsidR="00AC1F90" w:rsidRDefault="00C513A5" w:rsidP="00C513A5">
      <w:pPr>
        <w:pStyle w:val="OrderingParagraph"/>
      </w:pPr>
      <w:r>
        <w:t xml:space="preserve">ETI will </w:t>
      </w:r>
      <w:r w:rsidR="00AC1F90">
        <w:t xml:space="preserve">implement the current version of its third-party data access platform within 30 days after </w:t>
      </w:r>
      <w:r>
        <w:t>entry of this order.</w:t>
      </w:r>
    </w:p>
    <w:p w14:paraId="5272A320" w14:textId="053DB699" w:rsidR="00AC1F90" w:rsidRDefault="00C513A5" w:rsidP="00C513A5">
      <w:pPr>
        <w:pStyle w:val="OrderingParagraph"/>
        <w:rPr>
          <w:szCs w:val="24"/>
        </w:rPr>
      </w:pPr>
      <w:r>
        <w:t xml:space="preserve">ETI will implement </w:t>
      </w:r>
      <w:r w:rsidR="00AC1F90">
        <w:t xml:space="preserve">the necessary changes to its third-party data access platform </w:t>
      </w:r>
      <w:r w:rsidR="0012296A">
        <w:t xml:space="preserve"> </w:t>
      </w:r>
      <w:r w:rsidR="00AC1F90">
        <w:t xml:space="preserve">to comply with the Protocols attached as Exhibit 1 </w:t>
      </w:r>
      <w:r w:rsidR="00C63065">
        <w:t xml:space="preserve">to the Stipulation </w:t>
      </w:r>
      <w:r w:rsidR="0012296A">
        <w:t xml:space="preserve">(the GBC Platform) </w:t>
      </w:r>
      <w:r w:rsidR="00AC1F90">
        <w:t>within 18</w:t>
      </w:r>
      <w:r w:rsidR="00AC1F90" w:rsidRPr="0079355B">
        <w:t xml:space="preserve"> months</w:t>
      </w:r>
      <w:r w:rsidR="00AC1F90">
        <w:t xml:space="preserve"> of </w:t>
      </w:r>
      <w:r w:rsidR="00AC1F90">
        <w:rPr>
          <w:szCs w:val="24"/>
        </w:rPr>
        <w:t xml:space="preserve">the </w:t>
      </w:r>
      <w:r>
        <w:rPr>
          <w:szCs w:val="24"/>
        </w:rPr>
        <w:t>entry of this</w:t>
      </w:r>
      <w:r w:rsidR="00AC1F90">
        <w:rPr>
          <w:szCs w:val="24"/>
        </w:rPr>
        <w:t xml:space="preserve"> </w:t>
      </w:r>
      <w:r>
        <w:rPr>
          <w:szCs w:val="24"/>
        </w:rPr>
        <w:t>o</w:t>
      </w:r>
      <w:r w:rsidR="00AC1F90">
        <w:rPr>
          <w:szCs w:val="24"/>
        </w:rPr>
        <w:t xml:space="preserve">rder, and ETI will file </w:t>
      </w:r>
      <w:r w:rsidR="003A2C37">
        <w:rPr>
          <w:szCs w:val="24"/>
        </w:rPr>
        <w:t xml:space="preserve">monthly </w:t>
      </w:r>
      <w:r w:rsidR="00AC1F90">
        <w:rPr>
          <w:szCs w:val="24"/>
        </w:rPr>
        <w:t>status report</w:t>
      </w:r>
      <w:r w:rsidR="001D0E96">
        <w:rPr>
          <w:szCs w:val="24"/>
        </w:rPr>
        <w:t xml:space="preserve">s </w:t>
      </w:r>
      <w:r w:rsidR="00AC1F90">
        <w:rPr>
          <w:szCs w:val="24"/>
        </w:rPr>
        <w:t xml:space="preserve">explaining </w:t>
      </w:r>
      <w:r w:rsidR="001D0E96" w:rsidRPr="007A463E">
        <w:rPr>
          <w:szCs w:val="24"/>
        </w:rPr>
        <w:t>progress and any problems or delays;</w:t>
      </w:r>
      <w:r>
        <w:rPr>
          <w:szCs w:val="24"/>
        </w:rPr>
        <w:t>.</w:t>
      </w:r>
    </w:p>
    <w:p w14:paraId="3C29A980" w14:textId="7307F2E4" w:rsidR="00AC1F90" w:rsidRDefault="00C513A5" w:rsidP="0012296A">
      <w:pPr>
        <w:pStyle w:val="OrderingParagraph"/>
      </w:pPr>
      <w:r>
        <w:t xml:space="preserve">ETI will </w:t>
      </w:r>
      <w:r w:rsidR="00AC1F90">
        <w:t xml:space="preserve">obtain </w:t>
      </w:r>
      <w:r w:rsidR="001D0E96">
        <w:t xml:space="preserve">certification </w:t>
      </w:r>
      <w:r w:rsidR="00AC1F90">
        <w:t xml:space="preserve">from the Green Button Alliance that the GBC Platform </w:t>
      </w:r>
      <w:r w:rsidR="001D0E96">
        <w:t xml:space="preserve">implementation has successfully passed </w:t>
      </w:r>
      <w:r w:rsidR="00B46FC6">
        <w:t xml:space="preserve">the </w:t>
      </w:r>
      <w:r w:rsidR="00AC1F90">
        <w:t>Function Block</w:t>
      </w:r>
      <w:r w:rsidR="001D0E96">
        <w:t xml:space="preserve"> test</w:t>
      </w:r>
      <w:r w:rsidR="00B46FC6">
        <w:t>s</w:t>
      </w:r>
      <w:r w:rsidR="00AC1F90">
        <w:t xml:space="preserve"> </w:t>
      </w:r>
      <w:r w:rsidR="001D0E96">
        <w:t xml:space="preserve">listed </w:t>
      </w:r>
      <w:r w:rsidR="00B46FC6">
        <w:t>in Attachment 1 to the Protocols.</w:t>
      </w:r>
    </w:p>
    <w:p w14:paraId="4871C60D" w14:textId="17DA2B8E" w:rsidR="0012296A" w:rsidRDefault="0012296A" w:rsidP="0012296A">
      <w:pPr>
        <w:pStyle w:val="OrderingParagraph"/>
      </w:pPr>
      <w:r>
        <w:t xml:space="preserve">ETI will implement the reporting metrics identified in </w:t>
      </w:r>
      <w:r w:rsidR="00B46FC6">
        <w:t>Attachment</w:t>
      </w:r>
      <w:r>
        <w:t xml:space="preserve"> 2 to the </w:t>
      </w:r>
      <w:r w:rsidR="00B46FC6">
        <w:t>Protocols</w:t>
      </w:r>
      <w:r>
        <w:t>.</w:t>
      </w:r>
    </w:p>
    <w:p w14:paraId="06CA68DB" w14:textId="7FEFDE5B" w:rsidR="002926B6" w:rsidRPr="00912A71" w:rsidRDefault="002926B6" w:rsidP="005B5A8D">
      <w:pPr>
        <w:pStyle w:val="OrderingParagraph"/>
      </w:pPr>
      <w:r w:rsidRPr="002926B6">
        <w:t xml:space="preserve">Within 60 days of the Commission entering an Order consistent with this Stipulation, ETI will file an application for a change in its Deployment Plan under 16 TAC </w:t>
      </w:r>
      <w:r w:rsidR="00D71364">
        <w:t xml:space="preserve">§ </w:t>
      </w:r>
      <w:r w:rsidRPr="002926B6">
        <w:t xml:space="preserve">25.130(d)(10) </w:t>
      </w:r>
      <w:r w:rsidRPr="002926B6">
        <w:lastRenderedPageBreak/>
        <w:t xml:space="preserve">to implement on-demand read functionality instead of home-area network functionality consistent with revised 16 TAC </w:t>
      </w:r>
      <w:r w:rsidR="00B93014">
        <w:t>§</w:t>
      </w:r>
      <w:r w:rsidRPr="002926B6">
        <w:t xml:space="preserve"> 25.130(g)(1)(F).</w:t>
      </w:r>
    </w:p>
    <w:p w14:paraId="38F3D891" w14:textId="77777777" w:rsidR="005E6FF4" w:rsidRDefault="006E467B" w:rsidP="001E679D">
      <w:pPr>
        <w:pStyle w:val="OrderingParagraph"/>
      </w:pPr>
      <w:r>
        <w:t>Entry of this Order does not indicate the Commission’s endorsement or approval of any principle or methodology that may underlie the agreement and must not be regarded as precedential as to the appropriateness of any principle or methodology underlying the agreement.</w:t>
      </w:r>
    </w:p>
    <w:p w14:paraId="7DB90F8D" w14:textId="77777777" w:rsidR="000D69EE" w:rsidRDefault="006E467B" w:rsidP="000D69EE">
      <w:pPr>
        <w:pStyle w:val="OrderingParagraph"/>
      </w:pPr>
      <w:r>
        <w:t>The Commission denies all</w:t>
      </w:r>
      <w:r w:rsidRPr="003C7B31">
        <w:t xml:space="preserve"> other motions and any other requests for general or specific relief, if not expressly granted</w:t>
      </w:r>
      <w:r>
        <w:t>.</w:t>
      </w:r>
    </w:p>
    <w:p w14:paraId="3F969FD0" w14:textId="1FDB0A15" w:rsidR="00160DCD" w:rsidRDefault="006E467B" w:rsidP="00BC7B87">
      <w:pPr>
        <w:pStyle w:val="Dateline"/>
        <w:spacing w:before="360"/>
      </w:pPr>
      <w:r>
        <w:t>Signed at Austin, Texas the ______ day of _______________ 20</w:t>
      </w:r>
      <w:r w:rsidR="0064039F">
        <w:t>2</w:t>
      </w:r>
      <w:r w:rsidR="00C513A5">
        <w:t>2</w:t>
      </w:r>
      <w:r>
        <w:t>.</w:t>
      </w:r>
    </w:p>
    <w:p w14:paraId="107DD7B1" w14:textId="77777777" w:rsidR="008D1724" w:rsidRDefault="007A6338" w:rsidP="000D69EE">
      <w:pPr>
        <w:pStyle w:val="Dateline"/>
      </w:pPr>
    </w:p>
    <w:p w14:paraId="46C84EB5" w14:textId="77777777" w:rsidR="00160DCD" w:rsidRDefault="006E467B" w:rsidP="000D69EE">
      <w:pPr>
        <w:pStyle w:val="Signatures"/>
      </w:pPr>
      <w:r>
        <w:t>PUBLIC UTILITY COMMISSION OF TEXAS</w:t>
      </w:r>
    </w:p>
    <w:p w14:paraId="0817332C" w14:textId="77777777" w:rsidR="00160DCD" w:rsidRDefault="007A6338" w:rsidP="000D69EE">
      <w:pPr>
        <w:pStyle w:val="Signatures"/>
      </w:pPr>
    </w:p>
    <w:p w14:paraId="7D12D3F5" w14:textId="77777777" w:rsidR="00160DCD" w:rsidRDefault="007A6338" w:rsidP="000D69EE">
      <w:pPr>
        <w:pStyle w:val="Signatures"/>
      </w:pPr>
    </w:p>
    <w:p w14:paraId="565A47F4" w14:textId="77777777" w:rsidR="00160DCD" w:rsidRDefault="007A6338" w:rsidP="000D69EE">
      <w:pPr>
        <w:pStyle w:val="Signatures"/>
      </w:pPr>
    </w:p>
    <w:p w14:paraId="60872F7C" w14:textId="77777777" w:rsidR="00160DCD" w:rsidRDefault="006E467B" w:rsidP="000D69EE">
      <w:pPr>
        <w:pStyle w:val="Signatures"/>
      </w:pPr>
      <w:r w:rsidRPr="00160DCD">
        <w:t>______________________________________________</w:t>
      </w:r>
    </w:p>
    <w:p w14:paraId="3D358BB4" w14:textId="627C9552" w:rsidR="00160DCD" w:rsidRDefault="005B5A8D" w:rsidP="000D69EE">
      <w:pPr>
        <w:pStyle w:val="Signatures"/>
      </w:pPr>
      <w:r>
        <w:t>PETER LAKE</w:t>
      </w:r>
      <w:r w:rsidR="006E467B">
        <w:t xml:space="preserve">, </w:t>
      </w:r>
      <w:r w:rsidR="00684A9C">
        <w:t>CHAIRMAN</w:t>
      </w:r>
    </w:p>
    <w:p w14:paraId="4A3D4232" w14:textId="6BBFCFFB" w:rsidR="00A031C9" w:rsidRDefault="007A6338" w:rsidP="000D69EE">
      <w:pPr>
        <w:pStyle w:val="Signatures"/>
      </w:pPr>
    </w:p>
    <w:p w14:paraId="389ABACF" w14:textId="22FD5CF6" w:rsidR="005B5A8D" w:rsidRDefault="005B5A8D" w:rsidP="000D69EE">
      <w:pPr>
        <w:pStyle w:val="Signatures"/>
      </w:pPr>
    </w:p>
    <w:p w14:paraId="0205D508" w14:textId="77777777" w:rsidR="005B5A8D" w:rsidRDefault="005B5A8D" w:rsidP="005B5A8D">
      <w:pPr>
        <w:pStyle w:val="Signatures"/>
      </w:pPr>
      <w:r w:rsidRPr="00160DCD">
        <w:t>______________________________________________</w:t>
      </w:r>
    </w:p>
    <w:p w14:paraId="34CA4A88" w14:textId="6D2D2057" w:rsidR="005B5A8D" w:rsidRDefault="005B5A8D" w:rsidP="005B5A8D">
      <w:pPr>
        <w:pStyle w:val="Signatures"/>
      </w:pPr>
      <w:r>
        <w:t>WILL MCADAMS, COMMISSIONER</w:t>
      </w:r>
    </w:p>
    <w:p w14:paraId="6CE400F6" w14:textId="0EC55D50" w:rsidR="005B5A8D" w:rsidRDefault="005B5A8D" w:rsidP="000D69EE">
      <w:pPr>
        <w:pStyle w:val="Signatures"/>
      </w:pPr>
    </w:p>
    <w:p w14:paraId="44998EBE" w14:textId="5CFC86F4" w:rsidR="00C513A5" w:rsidRDefault="00C513A5" w:rsidP="000D69EE">
      <w:pPr>
        <w:pStyle w:val="Signatures"/>
      </w:pPr>
    </w:p>
    <w:p w14:paraId="20A1D121" w14:textId="77777777" w:rsidR="00C513A5" w:rsidRDefault="00C513A5" w:rsidP="00C513A5">
      <w:pPr>
        <w:pStyle w:val="Signatures"/>
      </w:pPr>
      <w:r w:rsidRPr="00160DCD">
        <w:t>______________________________________________</w:t>
      </w:r>
    </w:p>
    <w:p w14:paraId="7AE0995B" w14:textId="674DB41B" w:rsidR="00C513A5" w:rsidRDefault="00C513A5" w:rsidP="00C513A5">
      <w:pPr>
        <w:pStyle w:val="Signatures"/>
      </w:pPr>
      <w:r>
        <w:t>LORI COBOS, COMMISSIONER</w:t>
      </w:r>
    </w:p>
    <w:p w14:paraId="5ED21D46" w14:textId="4BBD35B0" w:rsidR="00C513A5" w:rsidRDefault="00C513A5" w:rsidP="000D69EE">
      <w:pPr>
        <w:pStyle w:val="Signatures"/>
      </w:pPr>
    </w:p>
    <w:p w14:paraId="34C18D82" w14:textId="6B8F2CD0" w:rsidR="00C513A5" w:rsidRDefault="00C513A5" w:rsidP="000D69EE">
      <w:pPr>
        <w:pStyle w:val="Signatures"/>
      </w:pPr>
    </w:p>
    <w:p w14:paraId="50A11E6C" w14:textId="77777777" w:rsidR="00C513A5" w:rsidRDefault="00C513A5" w:rsidP="00C513A5">
      <w:pPr>
        <w:pStyle w:val="Signatures"/>
      </w:pPr>
      <w:r w:rsidRPr="00160DCD">
        <w:t>______________________________________________</w:t>
      </w:r>
    </w:p>
    <w:p w14:paraId="5018EC9A" w14:textId="7B916FFF" w:rsidR="00C513A5" w:rsidRDefault="00C513A5" w:rsidP="00C513A5">
      <w:pPr>
        <w:pStyle w:val="Signatures"/>
      </w:pPr>
      <w:r>
        <w:t>JIMMY GLOTFELTY, COMMISSIONER</w:t>
      </w:r>
    </w:p>
    <w:p w14:paraId="4AE624E6" w14:textId="5A568EA9" w:rsidR="00160DCD" w:rsidRDefault="007A6338" w:rsidP="00E30BE5">
      <w:pPr>
        <w:pStyle w:val="Signatures"/>
      </w:pPr>
    </w:p>
    <w:sectPr w:rsidR="00160DCD" w:rsidSect="000D69EE">
      <w:headerReference w:type="default" r:id="rId7"/>
      <w:headerReference w:type="first" r:id="rId8"/>
      <w:type w:val="nextColumn"/>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98390" w14:textId="77777777" w:rsidR="002C3937" w:rsidRDefault="002C3937">
      <w:r>
        <w:separator/>
      </w:r>
    </w:p>
  </w:endnote>
  <w:endnote w:type="continuationSeparator" w:id="0">
    <w:p w14:paraId="7FC1D60D" w14:textId="77777777" w:rsidR="002C3937" w:rsidRDefault="002C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07B81" w14:textId="77777777" w:rsidR="002C3937" w:rsidRDefault="002C3937" w:rsidP="00D03394">
      <w:r>
        <w:separator/>
      </w:r>
    </w:p>
  </w:footnote>
  <w:footnote w:type="continuationSeparator" w:id="0">
    <w:p w14:paraId="3D3CF1DD" w14:textId="77777777" w:rsidR="002C3937" w:rsidRDefault="002C3937" w:rsidP="00D03394">
      <w:r>
        <w:continuationSeparator/>
      </w:r>
    </w:p>
  </w:footnote>
  <w:footnote w:id="1">
    <w:p w14:paraId="61D1E077" w14:textId="37E0EFAA" w:rsidR="00F07FC3" w:rsidRDefault="00F07FC3">
      <w:pPr>
        <w:pStyle w:val="FootnoteText"/>
      </w:pPr>
      <w:r>
        <w:rPr>
          <w:rStyle w:val="FootnoteReference"/>
        </w:rPr>
        <w:footnoteRef/>
      </w:r>
      <w:r>
        <w:t xml:space="preserve"> </w:t>
      </w:r>
      <w:r w:rsidRPr="00F07FC3">
        <w:rPr>
          <w:i/>
          <w:iCs/>
        </w:rPr>
        <w:t>Application of Entergy Texas, Inc. for Approval of Advanced Metering System (AMS) Deployment Plan, AMS Surcharge, and Non-standard Metering Service</w:t>
      </w:r>
      <w:r w:rsidRPr="00F07FC3">
        <w:t>, Docket No. 47416 (Dec. 14, 2017).</w:t>
      </w:r>
    </w:p>
  </w:footnote>
  <w:footnote w:id="2">
    <w:p w14:paraId="521C0170" w14:textId="77777777" w:rsidR="00B36533" w:rsidRDefault="006E467B" w:rsidP="00B36533">
      <w:pPr>
        <w:pStyle w:val="FootnoteText"/>
        <w:spacing w:after="120"/>
      </w:pPr>
      <w:r>
        <w:rPr>
          <w:rStyle w:val="FootnoteReference"/>
        </w:rPr>
        <w:footnoteRef/>
      </w:r>
      <w:r>
        <w:t xml:space="preserve"> </w:t>
      </w:r>
      <w:r w:rsidRPr="00E35C44">
        <w:t>Tex. Gov’t Code §§ 2001.001-.90</w:t>
      </w:r>
      <w:r>
        <w:t>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82FE1" w14:textId="77777777" w:rsidR="00A05820" w:rsidRDefault="007A6338" w:rsidP="00CD0038">
    <w:pPr>
      <w:pStyle w:val="Header"/>
      <w:tabs>
        <w:tab w:val="clear" w:pos="4680"/>
        <w:tab w:val="center" w:pos="5040"/>
      </w:tabs>
    </w:pPr>
  </w:p>
  <w:p w14:paraId="6C6172E6" w14:textId="135CC4DA" w:rsidR="00A05820" w:rsidRDefault="006E467B" w:rsidP="00A05820">
    <w:pPr>
      <w:pStyle w:val="Header"/>
      <w:jc w:val="right"/>
    </w:pPr>
    <w:r>
      <w:t>Stipulation and Settlement Agreement</w:t>
    </w:r>
  </w:p>
  <w:p w14:paraId="7181C92E" w14:textId="77777777" w:rsidR="00A05820" w:rsidRDefault="006E467B" w:rsidP="00A05820">
    <w:pPr>
      <w:pStyle w:val="Header"/>
      <w:tabs>
        <w:tab w:val="clear" w:pos="4680"/>
        <w:tab w:val="center" w:pos="5040"/>
      </w:tabs>
      <w:jc w:val="right"/>
    </w:pPr>
    <w:r>
      <w:t>Attachment A</w:t>
    </w:r>
  </w:p>
  <w:p w14:paraId="1B0FDA08" w14:textId="5C71830F" w:rsidR="00A05820" w:rsidRDefault="007A6338" w:rsidP="00A05820">
    <w:pPr>
      <w:pStyle w:val="Header"/>
      <w:tabs>
        <w:tab w:val="clear" w:pos="4680"/>
        <w:tab w:val="center" w:pos="5040"/>
      </w:tabs>
      <w:jc w:val="right"/>
    </w:pPr>
  </w:p>
  <w:p w14:paraId="09BDCBCA" w14:textId="2EB4CBE2" w:rsidR="00F1600B" w:rsidRPr="00F1600B" w:rsidRDefault="00F1600B" w:rsidP="00F1600B">
    <w:pPr>
      <w:pStyle w:val="Docketnumber"/>
      <w:spacing w:after="0"/>
      <w:jc w:val="left"/>
      <w:rPr>
        <w:sz w:val="22"/>
        <w:szCs w:val="22"/>
      </w:rPr>
    </w:pPr>
    <w:r w:rsidRPr="00F1600B">
      <w:rPr>
        <w:sz w:val="22"/>
        <w:szCs w:val="22"/>
      </w:rPr>
      <w:t>SOAH DOCKET No. 473-19-1841</w:t>
    </w:r>
  </w:p>
  <w:p w14:paraId="4A2C232C" w14:textId="517EDAA0" w:rsidR="00ED04FC" w:rsidRPr="00F1600B" w:rsidRDefault="006E467B" w:rsidP="00F1600B">
    <w:pPr>
      <w:pStyle w:val="Header"/>
      <w:tabs>
        <w:tab w:val="clear" w:pos="4680"/>
        <w:tab w:val="center" w:pos="5040"/>
      </w:tabs>
      <w:rPr>
        <w:szCs w:val="22"/>
      </w:rPr>
    </w:pPr>
    <w:r w:rsidRPr="00F1600B">
      <w:rPr>
        <w:szCs w:val="22"/>
      </w:rPr>
      <w:t>PUC Docket No. </w:t>
    </w:r>
    <w:r w:rsidR="00E85737" w:rsidRPr="00F1600B">
      <w:rPr>
        <w:szCs w:val="22"/>
      </w:rPr>
      <w:t>48745</w:t>
    </w:r>
    <w:r w:rsidRPr="00F1600B">
      <w:rPr>
        <w:szCs w:val="22"/>
      </w:rPr>
      <w:tab/>
      <w:t>Proposed Order</w:t>
    </w:r>
    <w:r w:rsidRPr="00F1600B">
      <w:rPr>
        <w:szCs w:val="22"/>
      </w:rPr>
      <w:tab/>
      <w:t xml:space="preserve">Page </w:t>
    </w:r>
    <w:r w:rsidRPr="00F1600B">
      <w:rPr>
        <w:szCs w:val="22"/>
      </w:rPr>
      <w:fldChar w:fldCharType="begin"/>
    </w:r>
    <w:r w:rsidRPr="00F1600B">
      <w:rPr>
        <w:szCs w:val="22"/>
      </w:rPr>
      <w:instrText xml:space="preserve"> PAGE   \* MERGEFORMAT </w:instrText>
    </w:r>
    <w:r w:rsidRPr="00F1600B">
      <w:rPr>
        <w:szCs w:val="22"/>
      </w:rPr>
      <w:fldChar w:fldCharType="separate"/>
    </w:r>
    <w:r w:rsidR="007A6338">
      <w:rPr>
        <w:noProof/>
        <w:szCs w:val="22"/>
      </w:rPr>
      <w:t>3</w:t>
    </w:r>
    <w:r w:rsidRPr="00F1600B">
      <w:rPr>
        <w:szCs w:val="22"/>
      </w:rPr>
      <w:fldChar w:fldCharType="end"/>
    </w:r>
    <w:r w:rsidRPr="00F1600B">
      <w:rPr>
        <w:szCs w:val="22"/>
      </w:rPr>
      <w:t xml:space="preserve"> of </w:t>
    </w:r>
    <w:r w:rsidR="00BD6D02">
      <w:rPr>
        <w:noProof/>
        <w:szCs w:val="22"/>
      </w:rPr>
      <w:t>__</w:t>
    </w:r>
  </w:p>
  <w:p w14:paraId="432D9C13" w14:textId="77777777" w:rsidR="00ED04FC" w:rsidRPr="00495DBA" w:rsidRDefault="007A6338" w:rsidP="00D83B90">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970FC" w14:textId="62179A9A" w:rsidR="002429BA" w:rsidRDefault="006E467B" w:rsidP="008469F1">
    <w:pPr>
      <w:pStyle w:val="Header"/>
      <w:jc w:val="right"/>
    </w:pPr>
    <w:r>
      <w:t xml:space="preserve">Docket No. </w:t>
    </w:r>
    <w:r w:rsidR="00CD24C7">
      <w:t>48745</w:t>
    </w:r>
    <w:r>
      <w:t xml:space="preserve"> - Stipulation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601C"/>
    <w:multiLevelType w:val="hybridMultilevel"/>
    <w:tmpl w:val="A72CF4A8"/>
    <w:lvl w:ilvl="0" w:tplc="DC4E2AB2">
      <w:start w:val="1"/>
      <w:numFmt w:val="decimal"/>
      <w:lvlText w:val="%1."/>
      <w:lvlJc w:val="left"/>
      <w:pPr>
        <w:ind w:left="1080" w:hanging="360"/>
      </w:pPr>
      <w:rPr>
        <w:rFonts w:hint="default"/>
      </w:rPr>
    </w:lvl>
    <w:lvl w:ilvl="1" w:tplc="7D2EF17E">
      <w:start w:val="1"/>
      <w:numFmt w:val="lowerLetter"/>
      <w:lvlText w:val="%2."/>
      <w:lvlJc w:val="left"/>
      <w:pPr>
        <w:ind w:left="1800" w:hanging="360"/>
      </w:pPr>
    </w:lvl>
    <w:lvl w:ilvl="2" w:tplc="1C4869E4" w:tentative="1">
      <w:start w:val="1"/>
      <w:numFmt w:val="lowerRoman"/>
      <w:lvlText w:val="%3."/>
      <w:lvlJc w:val="right"/>
      <w:pPr>
        <w:ind w:left="2520" w:hanging="180"/>
      </w:pPr>
    </w:lvl>
    <w:lvl w:ilvl="3" w:tplc="EE94570A" w:tentative="1">
      <w:start w:val="1"/>
      <w:numFmt w:val="decimal"/>
      <w:lvlText w:val="%4."/>
      <w:lvlJc w:val="left"/>
      <w:pPr>
        <w:ind w:left="3240" w:hanging="360"/>
      </w:pPr>
    </w:lvl>
    <w:lvl w:ilvl="4" w:tplc="74627630" w:tentative="1">
      <w:start w:val="1"/>
      <w:numFmt w:val="lowerLetter"/>
      <w:lvlText w:val="%5."/>
      <w:lvlJc w:val="left"/>
      <w:pPr>
        <w:ind w:left="3960" w:hanging="360"/>
      </w:pPr>
    </w:lvl>
    <w:lvl w:ilvl="5" w:tplc="B53685FC" w:tentative="1">
      <w:start w:val="1"/>
      <w:numFmt w:val="lowerRoman"/>
      <w:lvlText w:val="%6."/>
      <w:lvlJc w:val="right"/>
      <w:pPr>
        <w:ind w:left="4680" w:hanging="180"/>
      </w:pPr>
    </w:lvl>
    <w:lvl w:ilvl="6" w:tplc="AE9868A2" w:tentative="1">
      <w:start w:val="1"/>
      <w:numFmt w:val="decimal"/>
      <w:lvlText w:val="%7."/>
      <w:lvlJc w:val="left"/>
      <w:pPr>
        <w:ind w:left="5400" w:hanging="360"/>
      </w:pPr>
    </w:lvl>
    <w:lvl w:ilvl="7" w:tplc="A54274E4" w:tentative="1">
      <w:start w:val="1"/>
      <w:numFmt w:val="lowerLetter"/>
      <w:lvlText w:val="%8."/>
      <w:lvlJc w:val="left"/>
      <w:pPr>
        <w:ind w:left="6120" w:hanging="360"/>
      </w:pPr>
    </w:lvl>
    <w:lvl w:ilvl="8" w:tplc="DC3EEAAC" w:tentative="1">
      <w:start w:val="1"/>
      <w:numFmt w:val="lowerRoman"/>
      <w:lvlText w:val="%9."/>
      <w:lvlJc w:val="right"/>
      <w:pPr>
        <w:ind w:left="6840" w:hanging="180"/>
      </w:pPr>
    </w:lvl>
  </w:abstractNum>
  <w:abstractNum w:abstractNumId="1" w15:restartNumberingAfterBreak="0">
    <w:nsid w:val="04544049"/>
    <w:multiLevelType w:val="multilevel"/>
    <w:tmpl w:val="CA1E5CAA"/>
    <w:lvl w:ilvl="0">
      <w:start w:val="30"/>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EC01EC"/>
    <w:multiLevelType w:val="multilevel"/>
    <w:tmpl w:val="CDE0C538"/>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8F3D5E"/>
    <w:multiLevelType w:val="singleLevel"/>
    <w:tmpl w:val="3EEEC4AA"/>
    <w:lvl w:ilvl="0">
      <w:start w:val="1"/>
      <w:numFmt w:val="decimal"/>
      <w:pStyle w:val="FOFNumbered"/>
      <w:lvlText w:val="%1."/>
      <w:lvlJc w:val="left"/>
      <w:pPr>
        <w:tabs>
          <w:tab w:val="num" w:pos="720"/>
        </w:tabs>
        <w:ind w:left="720" w:hanging="720"/>
      </w:pPr>
      <w:rPr>
        <w:b w:val="0"/>
        <w:i w:val="0"/>
      </w:rPr>
    </w:lvl>
  </w:abstractNum>
  <w:abstractNum w:abstractNumId="4" w15:restartNumberingAfterBreak="0">
    <w:nsid w:val="1062412D"/>
    <w:multiLevelType w:val="multilevel"/>
    <w:tmpl w:val="493A93E4"/>
    <w:lvl w:ilvl="0">
      <w:start w:val="24"/>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1315B5"/>
    <w:multiLevelType w:val="hybridMultilevel"/>
    <w:tmpl w:val="1EC4C7B8"/>
    <w:lvl w:ilvl="0" w:tplc="7D84D3AC">
      <w:start w:val="1"/>
      <w:numFmt w:val="upperRoman"/>
      <w:lvlText w:val="%1."/>
      <w:lvlJc w:val="right"/>
      <w:pPr>
        <w:ind w:left="720" w:hanging="360"/>
      </w:pPr>
    </w:lvl>
    <w:lvl w:ilvl="1" w:tplc="001C69B2" w:tentative="1">
      <w:start w:val="1"/>
      <w:numFmt w:val="lowerLetter"/>
      <w:lvlText w:val="%2."/>
      <w:lvlJc w:val="left"/>
      <w:pPr>
        <w:ind w:left="1440" w:hanging="360"/>
      </w:pPr>
    </w:lvl>
    <w:lvl w:ilvl="2" w:tplc="67245980" w:tentative="1">
      <w:start w:val="1"/>
      <w:numFmt w:val="lowerRoman"/>
      <w:lvlText w:val="%3."/>
      <w:lvlJc w:val="right"/>
      <w:pPr>
        <w:ind w:left="2160" w:hanging="180"/>
      </w:pPr>
    </w:lvl>
    <w:lvl w:ilvl="3" w:tplc="16E23A6E" w:tentative="1">
      <w:start w:val="1"/>
      <w:numFmt w:val="decimal"/>
      <w:lvlText w:val="%4."/>
      <w:lvlJc w:val="left"/>
      <w:pPr>
        <w:ind w:left="2880" w:hanging="360"/>
      </w:pPr>
    </w:lvl>
    <w:lvl w:ilvl="4" w:tplc="F9AAABA6" w:tentative="1">
      <w:start w:val="1"/>
      <w:numFmt w:val="lowerLetter"/>
      <w:lvlText w:val="%5."/>
      <w:lvlJc w:val="left"/>
      <w:pPr>
        <w:ind w:left="3600" w:hanging="360"/>
      </w:pPr>
    </w:lvl>
    <w:lvl w:ilvl="5" w:tplc="B41E8596" w:tentative="1">
      <w:start w:val="1"/>
      <w:numFmt w:val="lowerRoman"/>
      <w:lvlText w:val="%6."/>
      <w:lvlJc w:val="right"/>
      <w:pPr>
        <w:ind w:left="4320" w:hanging="180"/>
      </w:pPr>
    </w:lvl>
    <w:lvl w:ilvl="6" w:tplc="4E78B986" w:tentative="1">
      <w:start w:val="1"/>
      <w:numFmt w:val="decimal"/>
      <w:lvlText w:val="%7."/>
      <w:lvlJc w:val="left"/>
      <w:pPr>
        <w:ind w:left="5040" w:hanging="360"/>
      </w:pPr>
    </w:lvl>
    <w:lvl w:ilvl="7" w:tplc="DBAE39EC" w:tentative="1">
      <w:start w:val="1"/>
      <w:numFmt w:val="lowerLetter"/>
      <w:lvlText w:val="%8."/>
      <w:lvlJc w:val="left"/>
      <w:pPr>
        <w:ind w:left="5760" w:hanging="360"/>
      </w:pPr>
    </w:lvl>
    <w:lvl w:ilvl="8" w:tplc="84FE6480" w:tentative="1">
      <w:start w:val="1"/>
      <w:numFmt w:val="lowerRoman"/>
      <w:lvlText w:val="%9."/>
      <w:lvlJc w:val="right"/>
      <w:pPr>
        <w:ind w:left="6480" w:hanging="180"/>
      </w:pPr>
    </w:lvl>
  </w:abstractNum>
  <w:abstractNum w:abstractNumId="6" w15:restartNumberingAfterBreak="0">
    <w:nsid w:val="2B9F3EA7"/>
    <w:multiLevelType w:val="multilevel"/>
    <w:tmpl w:val="7AF0ED5A"/>
    <w:lvl w:ilvl="0">
      <w:start w:val="13"/>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AA2521"/>
    <w:multiLevelType w:val="multilevel"/>
    <w:tmpl w:val="578E4CA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9" w15:restartNumberingAfterBreak="0">
    <w:nsid w:val="5DFA08A9"/>
    <w:multiLevelType w:val="hybridMultilevel"/>
    <w:tmpl w:val="C0063798"/>
    <w:lvl w:ilvl="0" w:tplc="0409001B">
      <w:start w:val="1"/>
      <w:numFmt w:val="lowerRoman"/>
      <w:lvlText w:val="%1."/>
      <w:lvlJc w:val="right"/>
      <w:pPr>
        <w:ind w:left="2940" w:hanging="360"/>
      </w:pPr>
    </w:lvl>
    <w:lvl w:ilvl="1" w:tplc="04090019">
      <w:start w:val="1"/>
      <w:numFmt w:val="lowerLetter"/>
      <w:lvlText w:val="%2."/>
      <w:lvlJc w:val="left"/>
      <w:pPr>
        <w:ind w:left="3660" w:hanging="360"/>
      </w:pPr>
    </w:lvl>
    <w:lvl w:ilvl="2" w:tplc="0409001B" w:tentative="1">
      <w:start w:val="1"/>
      <w:numFmt w:val="lowerRoman"/>
      <w:lvlText w:val="%3."/>
      <w:lvlJc w:val="right"/>
      <w:pPr>
        <w:ind w:left="4380" w:hanging="180"/>
      </w:pPr>
    </w:lvl>
    <w:lvl w:ilvl="3" w:tplc="0409000F" w:tentative="1">
      <w:start w:val="1"/>
      <w:numFmt w:val="decimal"/>
      <w:lvlText w:val="%4."/>
      <w:lvlJc w:val="left"/>
      <w:pPr>
        <w:ind w:left="5100" w:hanging="360"/>
      </w:pPr>
    </w:lvl>
    <w:lvl w:ilvl="4" w:tplc="04090019" w:tentative="1">
      <w:start w:val="1"/>
      <w:numFmt w:val="lowerLetter"/>
      <w:lvlText w:val="%5."/>
      <w:lvlJc w:val="left"/>
      <w:pPr>
        <w:ind w:left="5820" w:hanging="360"/>
      </w:pPr>
    </w:lvl>
    <w:lvl w:ilvl="5" w:tplc="0409001B" w:tentative="1">
      <w:start w:val="1"/>
      <w:numFmt w:val="lowerRoman"/>
      <w:lvlText w:val="%6."/>
      <w:lvlJc w:val="right"/>
      <w:pPr>
        <w:ind w:left="6540" w:hanging="180"/>
      </w:pPr>
    </w:lvl>
    <w:lvl w:ilvl="6" w:tplc="0409000F" w:tentative="1">
      <w:start w:val="1"/>
      <w:numFmt w:val="decimal"/>
      <w:lvlText w:val="%7."/>
      <w:lvlJc w:val="left"/>
      <w:pPr>
        <w:ind w:left="7260" w:hanging="360"/>
      </w:pPr>
    </w:lvl>
    <w:lvl w:ilvl="7" w:tplc="04090019" w:tentative="1">
      <w:start w:val="1"/>
      <w:numFmt w:val="lowerLetter"/>
      <w:lvlText w:val="%8."/>
      <w:lvlJc w:val="left"/>
      <w:pPr>
        <w:ind w:left="7980" w:hanging="360"/>
      </w:pPr>
    </w:lvl>
    <w:lvl w:ilvl="8" w:tplc="0409001B" w:tentative="1">
      <w:start w:val="1"/>
      <w:numFmt w:val="lowerRoman"/>
      <w:lvlText w:val="%9."/>
      <w:lvlJc w:val="right"/>
      <w:pPr>
        <w:ind w:left="8700" w:hanging="180"/>
      </w:pPr>
    </w:lvl>
  </w:abstractNum>
  <w:abstractNum w:abstractNumId="10" w15:restartNumberingAfterBreak="0">
    <w:nsid w:val="666B6E08"/>
    <w:multiLevelType w:val="hybridMultilevel"/>
    <w:tmpl w:val="0C4E73D2"/>
    <w:lvl w:ilvl="0" w:tplc="4A703B20">
      <w:start w:val="1"/>
      <w:numFmt w:val="decimal"/>
      <w:pStyle w:val="COLNumbered"/>
      <w:lvlText w:val="%1."/>
      <w:lvlJc w:val="left"/>
      <w:pPr>
        <w:ind w:left="720" w:hanging="360"/>
      </w:pPr>
    </w:lvl>
    <w:lvl w:ilvl="1" w:tplc="C504CC8E">
      <w:start w:val="1"/>
      <w:numFmt w:val="lowerLetter"/>
      <w:lvlText w:val="%2."/>
      <w:lvlJc w:val="left"/>
      <w:pPr>
        <w:ind w:left="1440" w:hanging="360"/>
      </w:pPr>
    </w:lvl>
    <w:lvl w:ilvl="2" w:tplc="E0407964" w:tentative="1">
      <w:start w:val="1"/>
      <w:numFmt w:val="lowerRoman"/>
      <w:lvlText w:val="%3."/>
      <w:lvlJc w:val="right"/>
      <w:pPr>
        <w:ind w:left="2160" w:hanging="180"/>
      </w:pPr>
    </w:lvl>
    <w:lvl w:ilvl="3" w:tplc="7146F752" w:tentative="1">
      <w:start w:val="1"/>
      <w:numFmt w:val="decimal"/>
      <w:lvlText w:val="%4."/>
      <w:lvlJc w:val="left"/>
      <w:pPr>
        <w:ind w:left="2880" w:hanging="360"/>
      </w:pPr>
    </w:lvl>
    <w:lvl w:ilvl="4" w:tplc="9C84DAE2" w:tentative="1">
      <w:start w:val="1"/>
      <w:numFmt w:val="lowerLetter"/>
      <w:lvlText w:val="%5."/>
      <w:lvlJc w:val="left"/>
      <w:pPr>
        <w:ind w:left="3600" w:hanging="360"/>
      </w:pPr>
    </w:lvl>
    <w:lvl w:ilvl="5" w:tplc="A4585BD4" w:tentative="1">
      <w:start w:val="1"/>
      <w:numFmt w:val="lowerRoman"/>
      <w:lvlText w:val="%6."/>
      <w:lvlJc w:val="right"/>
      <w:pPr>
        <w:ind w:left="4320" w:hanging="180"/>
      </w:pPr>
    </w:lvl>
    <w:lvl w:ilvl="6" w:tplc="5A4C6CAE" w:tentative="1">
      <w:start w:val="1"/>
      <w:numFmt w:val="decimal"/>
      <w:lvlText w:val="%7."/>
      <w:lvlJc w:val="left"/>
      <w:pPr>
        <w:ind w:left="5040" w:hanging="360"/>
      </w:pPr>
    </w:lvl>
    <w:lvl w:ilvl="7" w:tplc="B3D0E4AC" w:tentative="1">
      <w:start w:val="1"/>
      <w:numFmt w:val="lowerLetter"/>
      <w:lvlText w:val="%8."/>
      <w:lvlJc w:val="left"/>
      <w:pPr>
        <w:ind w:left="5760" w:hanging="360"/>
      </w:pPr>
    </w:lvl>
    <w:lvl w:ilvl="8" w:tplc="22FC7CBC" w:tentative="1">
      <w:start w:val="1"/>
      <w:numFmt w:val="lowerRoman"/>
      <w:lvlText w:val="%9."/>
      <w:lvlJc w:val="right"/>
      <w:pPr>
        <w:ind w:left="6480" w:hanging="180"/>
      </w:pPr>
    </w:lvl>
  </w:abstractNum>
  <w:abstractNum w:abstractNumId="11" w15:restartNumberingAfterBreak="0">
    <w:nsid w:val="6CB53D12"/>
    <w:multiLevelType w:val="multilevel"/>
    <w:tmpl w:val="206402EC"/>
    <w:lvl w:ilvl="0">
      <w:start w:val="5"/>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5F6311"/>
    <w:multiLevelType w:val="multilevel"/>
    <w:tmpl w:val="BBE03AC4"/>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5"/>
  </w:num>
  <w:num w:numId="2">
    <w:abstractNumId w:val="8"/>
  </w:num>
  <w:num w:numId="3">
    <w:abstractNumId w:val="3"/>
  </w:num>
  <w:num w:numId="4">
    <w:abstractNumId w:val="14"/>
  </w:num>
  <w:num w:numId="5">
    <w:abstractNumId w:val="8"/>
  </w:num>
  <w:num w:numId="6">
    <w:abstractNumId w:val="10"/>
  </w:num>
  <w:num w:numId="7">
    <w:abstractNumId w:val="12"/>
  </w:num>
  <w:num w:numId="8">
    <w:abstractNumId w:val="13"/>
  </w:num>
  <w:num w:numId="9">
    <w:abstractNumId w:val="11"/>
  </w:num>
  <w:num w:numId="10">
    <w:abstractNumId w:val="6"/>
  </w:num>
  <w:num w:numId="11">
    <w:abstractNumId w:val="4"/>
  </w:num>
  <w:num w:numId="12">
    <w:abstractNumId w:val="1"/>
  </w:num>
  <w:num w:numId="13">
    <w:abstractNumId w:val="7"/>
  </w:num>
  <w:num w:numId="14">
    <w:abstractNumId w:val="2"/>
  </w:num>
  <w:num w:numId="15">
    <w:abstractNumId w:val="3"/>
  </w:num>
  <w:num w:numId="16">
    <w:abstractNumId w:val="3"/>
  </w:num>
  <w:num w:numId="17">
    <w:abstractNumId w:val="3"/>
  </w:num>
  <w:num w:numId="18">
    <w:abstractNumId w:val="3"/>
  </w:num>
  <w:num w:numId="19">
    <w:abstractNumId w:val="3"/>
  </w:num>
  <w:num w:numId="20">
    <w:abstractNumId w:val="9"/>
  </w:num>
  <w:num w:numId="21">
    <w:abstractNumId w:val="0"/>
  </w:num>
  <w:num w:numId="22">
    <w:abstractNumId w:val="3"/>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A9D"/>
    <w:rsid w:val="00001326"/>
    <w:rsid w:val="00016A5C"/>
    <w:rsid w:val="000349AD"/>
    <w:rsid w:val="0003785B"/>
    <w:rsid w:val="00042D4A"/>
    <w:rsid w:val="00064D54"/>
    <w:rsid w:val="0007359A"/>
    <w:rsid w:val="00086825"/>
    <w:rsid w:val="000A4D1E"/>
    <w:rsid w:val="000A537C"/>
    <w:rsid w:val="000B2508"/>
    <w:rsid w:val="000C1468"/>
    <w:rsid w:val="000E0CCD"/>
    <w:rsid w:val="000E2E38"/>
    <w:rsid w:val="00102DC4"/>
    <w:rsid w:val="0012296A"/>
    <w:rsid w:val="0012617A"/>
    <w:rsid w:val="0013510A"/>
    <w:rsid w:val="001538DC"/>
    <w:rsid w:val="00157386"/>
    <w:rsid w:val="00163BC9"/>
    <w:rsid w:val="001830AE"/>
    <w:rsid w:val="001925A3"/>
    <w:rsid w:val="001A6649"/>
    <w:rsid w:val="001A7C13"/>
    <w:rsid w:val="001B741C"/>
    <w:rsid w:val="001C5F3F"/>
    <w:rsid w:val="001C6031"/>
    <w:rsid w:val="001D0419"/>
    <w:rsid w:val="001D0E96"/>
    <w:rsid w:val="001D34C8"/>
    <w:rsid w:val="00215219"/>
    <w:rsid w:val="0022722E"/>
    <w:rsid w:val="0025595C"/>
    <w:rsid w:val="00274FB8"/>
    <w:rsid w:val="00276380"/>
    <w:rsid w:val="002926B6"/>
    <w:rsid w:val="002A05CC"/>
    <w:rsid w:val="002C3937"/>
    <w:rsid w:val="002D70BA"/>
    <w:rsid w:val="00321EA2"/>
    <w:rsid w:val="0037304F"/>
    <w:rsid w:val="003A2C37"/>
    <w:rsid w:val="003A6609"/>
    <w:rsid w:val="003A6669"/>
    <w:rsid w:val="003C28B1"/>
    <w:rsid w:val="003C5699"/>
    <w:rsid w:val="003C5940"/>
    <w:rsid w:val="003C67A6"/>
    <w:rsid w:val="003D1018"/>
    <w:rsid w:val="00420B38"/>
    <w:rsid w:val="00430D8B"/>
    <w:rsid w:val="00434EBB"/>
    <w:rsid w:val="004449F2"/>
    <w:rsid w:val="004522F8"/>
    <w:rsid w:val="0045294B"/>
    <w:rsid w:val="004957AA"/>
    <w:rsid w:val="00495DBA"/>
    <w:rsid w:val="004A6A8F"/>
    <w:rsid w:val="004D5D13"/>
    <w:rsid w:val="004F5286"/>
    <w:rsid w:val="00517ED0"/>
    <w:rsid w:val="0058547F"/>
    <w:rsid w:val="0058733E"/>
    <w:rsid w:val="00587D71"/>
    <w:rsid w:val="005B5A8D"/>
    <w:rsid w:val="005C661C"/>
    <w:rsid w:val="005F6118"/>
    <w:rsid w:val="005F639A"/>
    <w:rsid w:val="0064039F"/>
    <w:rsid w:val="00680F13"/>
    <w:rsid w:val="00684A9C"/>
    <w:rsid w:val="006A45EC"/>
    <w:rsid w:val="006C7B3E"/>
    <w:rsid w:val="006C7D1D"/>
    <w:rsid w:val="006E467B"/>
    <w:rsid w:val="007376C4"/>
    <w:rsid w:val="0076081D"/>
    <w:rsid w:val="00796595"/>
    <w:rsid w:val="007A03AD"/>
    <w:rsid w:val="007A606B"/>
    <w:rsid w:val="007A6338"/>
    <w:rsid w:val="007D5164"/>
    <w:rsid w:val="007D5DBC"/>
    <w:rsid w:val="007D67E8"/>
    <w:rsid w:val="00811990"/>
    <w:rsid w:val="0082102C"/>
    <w:rsid w:val="008313DA"/>
    <w:rsid w:val="00850B92"/>
    <w:rsid w:val="00862882"/>
    <w:rsid w:val="008649F0"/>
    <w:rsid w:val="00883CAE"/>
    <w:rsid w:val="00885F59"/>
    <w:rsid w:val="008A6DB1"/>
    <w:rsid w:val="008A7A46"/>
    <w:rsid w:val="008C4CAA"/>
    <w:rsid w:val="008C5ABA"/>
    <w:rsid w:val="008F46B6"/>
    <w:rsid w:val="00912A71"/>
    <w:rsid w:val="009265B1"/>
    <w:rsid w:val="00947EDF"/>
    <w:rsid w:val="00960BD4"/>
    <w:rsid w:val="00967293"/>
    <w:rsid w:val="009872AB"/>
    <w:rsid w:val="009A3F3A"/>
    <w:rsid w:val="009C5F4A"/>
    <w:rsid w:val="009D6BF8"/>
    <w:rsid w:val="009E418C"/>
    <w:rsid w:val="009E630C"/>
    <w:rsid w:val="00A50C6F"/>
    <w:rsid w:val="00A60C07"/>
    <w:rsid w:val="00AC1F90"/>
    <w:rsid w:val="00AC4E3E"/>
    <w:rsid w:val="00AD51CE"/>
    <w:rsid w:val="00B10A9D"/>
    <w:rsid w:val="00B33F84"/>
    <w:rsid w:val="00B46FC6"/>
    <w:rsid w:val="00B4775E"/>
    <w:rsid w:val="00B93014"/>
    <w:rsid w:val="00BB0356"/>
    <w:rsid w:val="00BB700F"/>
    <w:rsid w:val="00BD1E79"/>
    <w:rsid w:val="00BD6D02"/>
    <w:rsid w:val="00C15116"/>
    <w:rsid w:val="00C200A9"/>
    <w:rsid w:val="00C22563"/>
    <w:rsid w:val="00C24587"/>
    <w:rsid w:val="00C4720D"/>
    <w:rsid w:val="00C513A5"/>
    <w:rsid w:val="00C571F8"/>
    <w:rsid w:val="00C63065"/>
    <w:rsid w:val="00C63C9A"/>
    <w:rsid w:val="00C67D39"/>
    <w:rsid w:val="00C975AC"/>
    <w:rsid w:val="00CA127A"/>
    <w:rsid w:val="00CA4AE7"/>
    <w:rsid w:val="00CA6A37"/>
    <w:rsid w:val="00CB3A39"/>
    <w:rsid w:val="00CD24C7"/>
    <w:rsid w:val="00CF1CFD"/>
    <w:rsid w:val="00D03991"/>
    <w:rsid w:val="00D21C0D"/>
    <w:rsid w:val="00D510EF"/>
    <w:rsid w:val="00D71364"/>
    <w:rsid w:val="00D75362"/>
    <w:rsid w:val="00D97A60"/>
    <w:rsid w:val="00DC4082"/>
    <w:rsid w:val="00DD065F"/>
    <w:rsid w:val="00DE53CE"/>
    <w:rsid w:val="00E05A0D"/>
    <w:rsid w:val="00E2231F"/>
    <w:rsid w:val="00E30BE5"/>
    <w:rsid w:val="00E34B79"/>
    <w:rsid w:val="00E541B7"/>
    <w:rsid w:val="00E5632A"/>
    <w:rsid w:val="00E85737"/>
    <w:rsid w:val="00E9661A"/>
    <w:rsid w:val="00EA75E7"/>
    <w:rsid w:val="00EF2595"/>
    <w:rsid w:val="00F07111"/>
    <w:rsid w:val="00F07FC3"/>
    <w:rsid w:val="00F1600B"/>
    <w:rsid w:val="00F22D77"/>
    <w:rsid w:val="00F26209"/>
    <w:rsid w:val="00F52CBF"/>
    <w:rsid w:val="00F63D8E"/>
    <w:rsid w:val="00F71129"/>
    <w:rsid w:val="00F77352"/>
    <w:rsid w:val="00F9186A"/>
    <w:rsid w:val="00FB228C"/>
    <w:rsid w:val="00FB59DD"/>
    <w:rsid w:val="00FB619D"/>
    <w:rsid w:val="00FC5FCD"/>
    <w:rsid w:val="00FD2C6E"/>
    <w:rsid w:val="00FF0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3D806E"/>
  <w15:docId w15:val="{7650715B-44C3-C740-8F56-26C42A4F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styleId="CommentReference">
    <w:name w:val="annotation reference"/>
    <w:basedOn w:val="DefaultParagraphFont"/>
    <w:unhideWhenUsed/>
    <w:rsid w:val="002E162F"/>
    <w:rPr>
      <w:sz w:val="16"/>
      <w:szCs w:val="16"/>
    </w:rPr>
  </w:style>
  <w:style w:type="paragraph" w:styleId="CommentText">
    <w:name w:val="annotation text"/>
    <w:basedOn w:val="Normal"/>
    <w:link w:val="CommentTextChar"/>
    <w:unhideWhenUsed/>
    <w:rsid w:val="002E162F"/>
    <w:rPr>
      <w:sz w:val="20"/>
      <w:szCs w:val="20"/>
    </w:rPr>
  </w:style>
  <w:style w:type="character" w:customStyle="1" w:styleId="CommentTextChar">
    <w:name w:val="Comment Text Char"/>
    <w:basedOn w:val="DefaultParagraphFont"/>
    <w:link w:val="CommentText"/>
    <w:rsid w:val="002E162F"/>
    <w:rPr>
      <w:sz w:val="20"/>
      <w:szCs w:val="20"/>
    </w:rPr>
  </w:style>
  <w:style w:type="paragraph" w:styleId="CommentSubject">
    <w:name w:val="annotation subject"/>
    <w:basedOn w:val="CommentText"/>
    <w:next w:val="CommentText"/>
    <w:link w:val="CommentSubjectChar"/>
    <w:uiPriority w:val="99"/>
    <w:semiHidden/>
    <w:unhideWhenUsed/>
    <w:rsid w:val="002E162F"/>
    <w:rPr>
      <w:b/>
      <w:bCs/>
    </w:rPr>
  </w:style>
  <w:style w:type="character" w:customStyle="1" w:styleId="CommentSubjectChar">
    <w:name w:val="Comment Subject Char"/>
    <w:basedOn w:val="CommentTextChar"/>
    <w:link w:val="CommentSubject"/>
    <w:uiPriority w:val="99"/>
    <w:semiHidden/>
    <w:rsid w:val="002E162F"/>
    <w:rPr>
      <w:b/>
      <w:bCs/>
      <w:sz w:val="20"/>
      <w:szCs w:val="20"/>
    </w:rPr>
  </w:style>
  <w:style w:type="character" w:styleId="Hyperlink">
    <w:name w:val="Hyperlink"/>
    <w:basedOn w:val="DefaultParagraphFont"/>
    <w:uiPriority w:val="99"/>
    <w:unhideWhenUsed/>
    <w:rsid w:val="00CB3A39"/>
    <w:rPr>
      <w:color w:val="0563C1" w:themeColor="hyperlink"/>
      <w:u w:val="single"/>
    </w:rPr>
  </w:style>
  <w:style w:type="character" w:customStyle="1" w:styleId="UnresolvedMention1">
    <w:name w:val="Unresolved Mention1"/>
    <w:basedOn w:val="DefaultParagraphFont"/>
    <w:uiPriority w:val="99"/>
    <w:semiHidden/>
    <w:unhideWhenUsed/>
    <w:rsid w:val="00CB3A39"/>
    <w:rPr>
      <w:color w:val="605E5C"/>
      <w:shd w:val="clear" w:color="auto" w:fill="E1DFDD"/>
    </w:rPr>
  </w:style>
  <w:style w:type="paragraph" w:styleId="Revision">
    <w:name w:val="Revision"/>
    <w:hidden/>
    <w:uiPriority w:val="99"/>
    <w:semiHidden/>
    <w:rsid w:val="000B25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1578</Words>
  <Characters>8998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Olson</dc:creator>
  <cp:lastModifiedBy>Madeline McDaniel</cp:lastModifiedBy>
  <cp:revision>3</cp:revision>
  <cp:lastPrinted>2022-04-28T15:43:00Z</cp:lastPrinted>
  <dcterms:created xsi:type="dcterms:W3CDTF">2022-07-22T19:47:00Z</dcterms:created>
  <dcterms:modified xsi:type="dcterms:W3CDTF">2022-07-26T20:07:00Z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91f082-e357-48ae-be1c-7e151bab59c6_Enabled">
    <vt:lpwstr>true</vt:lpwstr>
  </property>
  <property fmtid="{D5CDD505-2E9C-101B-9397-08002B2CF9AE}" pid="3" name="MSIP_Label_4391f082-e357-48ae-be1c-7e151bab59c6_SetDate">
    <vt:lpwstr>2021-01-04T20:17:10Z</vt:lpwstr>
  </property>
  <property fmtid="{D5CDD505-2E9C-101B-9397-08002B2CF9AE}" pid="4" name="MSIP_Label_4391f082-e357-48ae-be1c-7e151bab59c6_Method">
    <vt:lpwstr>Standard</vt:lpwstr>
  </property>
  <property fmtid="{D5CDD505-2E9C-101B-9397-08002B2CF9AE}" pid="5" name="MSIP_Label_4391f082-e357-48ae-be1c-7e151bab59c6_Name">
    <vt:lpwstr>4391f082-e357-48ae-be1c-7e151bab59c6</vt:lpwstr>
  </property>
  <property fmtid="{D5CDD505-2E9C-101B-9397-08002B2CF9AE}" pid="6" name="MSIP_Label_4391f082-e357-48ae-be1c-7e151bab59c6_SiteId">
    <vt:lpwstr>e0c13469-6a2d-4ac3-835b-8ec9ed03c9a7</vt:lpwstr>
  </property>
  <property fmtid="{D5CDD505-2E9C-101B-9397-08002B2CF9AE}" pid="7" name="MSIP_Label_4391f082-e357-48ae-be1c-7e151bab59c6_ActionId">
    <vt:lpwstr>aff1b273-517b-4bb9-a3b8-0873d8029a79</vt:lpwstr>
  </property>
  <property fmtid="{D5CDD505-2E9C-101B-9397-08002B2CF9AE}" pid="8" name="MSIP_Label_4391f082-e357-48ae-be1c-7e151bab59c6_ContentBits">
    <vt:lpwstr>0</vt:lpwstr>
  </property>
</Properties>
</file>